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p>
    <w:p>
      <w:pPr>
        <w:jc w:val="center"/>
        <w:rPr>
          <w:rFonts w:hint="eastAsia" w:ascii="仿宋" w:hAnsi="仿宋" w:eastAsia="仿宋" w:cs="仿宋"/>
          <w:b/>
          <w:bCs/>
          <w:color w:val="000000"/>
          <w:sz w:val="72"/>
          <w:szCs w:val="72"/>
          <w:lang w:val="en-US" w:eastAsia="zh-CN"/>
        </w:rPr>
      </w:pPr>
      <w:r>
        <w:rPr>
          <w:rFonts w:hint="eastAsia" w:ascii="仿宋" w:hAnsi="仿宋" w:eastAsia="仿宋" w:cs="仿宋"/>
          <w:b/>
          <w:bCs/>
          <w:color w:val="000000"/>
          <w:sz w:val="72"/>
          <w:szCs w:val="72"/>
          <w:lang w:val="en-US" w:eastAsia="zh-CN"/>
        </w:rPr>
        <w:t>濮阳市市场监督管理局</w:t>
      </w:r>
    </w:p>
    <w:p>
      <w:pPr>
        <w:jc w:val="center"/>
        <w:rPr>
          <w:rFonts w:hint="eastAsia" w:ascii="宋体" w:hAnsi="宋体" w:eastAsia="宋体" w:cs="宋体"/>
          <w:b/>
          <w:sz w:val="72"/>
          <w:szCs w:val="72"/>
          <w:u w:val="none"/>
          <w:lang w:eastAsia="zh-CN"/>
        </w:rPr>
      </w:pPr>
      <w:r>
        <w:rPr>
          <w:rFonts w:hint="eastAsia" w:ascii="仿宋" w:hAnsi="仿宋" w:eastAsia="仿宋" w:cs="仿宋"/>
          <w:b/>
          <w:bCs/>
          <w:color w:val="000000"/>
          <w:sz w:val="72"/>
          <w:szCs w:val="72"/>
          <w:lang w:val="en-US" w:eastAsia="zh-CN"/>
        </w:rPr>
        <w:t>抽检实施方案</w:t>
      </w:r>
    </w:p>
    <w:p>
      <w:pPr>
        <w:jc w:val="center"/>
        <w:rPr>
          <w:rFonts w:hint="eastAsia" w:ascii="宋体" w:hAnsi="宋体" w:eastAsia="宋体" w:cs="宋体"/>
          <w:sz w:val="36"/>
          <w:szCs w:val="24"/>
          <w:lang w:val="en-US" w:eastAsia="zh-CN"/>
        </w:rPr>
      </w:pPr>
    </w:p>
    <w:p>
      <w:pPr>
        <w:jc w:val="center"/>
        <w:rPr>
          <w:rFonts w:hint="eastAsia" w:ascii="仿宋" w:hAnsi="仿宋" w:eastAsia="仿宋" w:cs="仿宋"/>
          <w:b/>
          <w:bCs w:val="0"/>
          <w:color w:val="000000"/>
          <w:sz w:val="44"/>
          <w:szCs w:val="44"/>
        </w:rPr>
      </w:pPr>
    </w:p>
    <w:p>
      <w:pPr>
        <w:pStyle w:val="10"/>
        <w:rPr>
          <w:rFonts w:hint="eastAsia"/>
        </w:rPr>
      </w:pPr>
    </w:p>
    <w:p>
      <w:pPr>
        <w:pStyle w:val="11"/>
        <w:rPr>
          <w:rFonts w:hint="eastAsia"/>
        </w:rPr>
      </w:pPr>
    </w:p>
    <w:p>
      <w:pPr>
        <w:jc w:val="center"/>
        <w:rPr>
          <w:rFonts w:hint="eastAsia" w:ascii="仿宋" w:hAnsi="仿宋" w:eastAsia="仿宋" w:cs="仿宋"/>
          <w:b/>
          <w:bCs w:val="0"/>
          <w:color w:val="000000"/>
          <w:sz w:val="44"/>
          <w:szCs w:val="44"/>
          <w:lang w:eastAsia="zh-CN"/>
        </w:rPr>
      </w:pPr>
    </w:p>
    <w:p>
      <w:pPr>
        <w:pStyle w:val="11"/>
        <w:ind w:left="0" w:leftChars="0" w:firstLine="0" w:firstLineChars="0"/>
        <w:rPr>
          <w:rFonts w:hint="eastAsia"/>
          <w:lang w:eastAsia="zh-CN"/>
        </w:rPr>
      </w:pPr>
    </w:p>
    <w:p>
      <w:pPr>
        <w:pStyle w:val="32"/>
        <w:rPr>
          <w:rFonts w:hint="eastAsia" w:ascii="仿宋" w:hAnsi="仿宋" w:eastAsia="仿宋" w:cs="仿宋"/>
          <w:b/>
          <w:bCs/>
          <w:color w:val="000000"/>
          <w:spacing w:val="10"/>
          <w:sz w:val="36"/>
          <w:szCs w:val="36"/>
          <w:lang w:val="en-US" w:eastAsia="zh-CN"/>
        </w:rPr>
      </w:pPr>
    </w:p>
    <w:p>
      <w:pPr>
        <w:pStyle w:val="33"/>
        <w:rPr>
          <w:rFonts w:hint="eastAsia" w:ascii="仿宋" w:hAnsi="仿宋" w:eastAsia="仿宋" w:cs="仿宋"/>
          <w:b/>
          <w:bCs/>
          <w:color w:val="000000"/>
          <w:spacing w:val="10"/>
          <w:sz w:val="36"/>
          <w:szCs w:val="36"/>
          <w:lang w:val="en-US" w:eastAsia="zh-CN"/>
        </w:rPr>
      </w:pPr>
    </w:p>
    <w:p>
      <w:pPr>
        <w:pStyle w:val="12"/>
        <w:rPr>
          <w:rFonts w:hint="eastAsia"/>
          <w:lang w:val="en-US" w:eastAsia="zh-CN"/>
        </w:rPr>
      </w:pPr>
    </w:p>
    <w:p>
      <w:pPr>
        <w:pStyle w:val="33"/>
        <w:rPr>
          <w:rFonts w:hint="eastAsia" w:ascii="仿宋" w:hAnsi="仿宋" w:eastAsia="仿宋" w:cs="仿宋"/>
          <w:b/>
          <w:bCs/>
          <w:color w:val="000000"/>
          <w:spacing w:val="10"/>
          <w:sz w:val="36"/>
          <w:szCs w:val="36"/>
          <w:lang w:val="en-US" w:eastAsia="zh-CN"/>
        </w:rPr>
      </w:pPr>
    </w:p>
    <w:p>
      <w:pPr>
        <w:jc w:val="left"/>
        <w:rPr>
          <w:rFonts w:hint="eastAsia" w:ascii="仿宋" w:hAnsi="仿宋" w:eastAsia="仿宋" w:cs="仿宋"/>
          <w:b/>
          <w:bCs/>
          <w:color w:val="000000"/>
          <w:sz w:val="36"/>
          <w:szCs w:val="36"/>
        </w:rPr>
      </w:pPr>
      <w:r>
        <w:rPr>
          <w:rFonts w:hint="eastAsia" w:ascii="仿宋" w:hAnsi="仿宋" w:eastAsia="仿宋" w:cs="仿宋"/>
          <w:b/>
          <w:color w:val="000000"/>
          <w:spacing w:val="20"/>
          <w:sz w:val="36"/>
          <w:szCs w:val="36"/>
        </w:rPr>
        <w:t>委托单位：</w:t>
      </w:r>
      <w:r>
        <w:rPr>
          <w:rFonts w:hint="eastAsia" w:ascii="仿宋" w:hAnsi="仿宋" w:eastAsia="仿宋" w:cs="仿宋"/>
          <w:b/>
          <w:color w:val="000000"/>
          <w:spacing w:val="20"/>
          <w:sz w:val="36"/>
          <w:szCs w:val="36"/>
          <w:lang w:eastAsia="zh-CN"/>
        </w:rPr>
        <w:t>濮阳市市场监督管理局</w:t>
      </w:r>
    </w:p>
    <w:p>
      <w:pPr>
        <w:pStyle w:val="12"/>
        <w:rPr>
          <w:rFonts w:hint="eastAsia" w:ascii="仿宋" w:hAnsi="仿宋" w:eastAsia="仿宋" w:cs="仿宋"/>
          <w:b/>
          <w:bCs/>
          <w:color w:val="000000"/>
          <w:spacing w:val="10"/>
          <w:sz w:val="36"/>
          <w:szCs w:val="36"/>
          <w:lang w:val="en-US" w:eastAsia="zh-CN"/>
        </w:rPr>
      </w:pPr>
    </w:p>
    <w:p>
      <w:pPr>
        <w:adjustRightInd w:val="0"/>
        <w:snapToGrid w:val="0"/>
        <w:spacing w:line="264" w:lineRule="auto"/>
        <w:jc w:val="left"/>
        <w:rPr>
          <w:rFonts w:hint="eastAsia" w:ascii="仿宋" w:hAnsi="仿宋" w:eastAsia="仿宋" w:cs="仿宋"/>
          <w:color w:val="000000"/>
          <w:sz w:val="36"/>
          <w:szCs w:val="36"/>
          <w:lang w:eastAsia="zh-CN"/>
        </w:rPr>
      </w:pPr>
      <w:r>
        <w:rPr>
          <w:rFonts w:hint="eastAsia" w:ascii="仿宋" w:hAnsi="仿宋" w:eastAsia="仿宋" w:cs="仿宋"/>
          <w:b/>
          <w:color w:val="000000"/>
          <w:spacing w:val="20"/>
          <w:sz w:val="36"/>
          <w:szCs w:val="36"/>
          <w:lang w:eastAsia="zh-CN"/>
        </w:rPr>
        <w:t>抽检</w:t>
      </w:r>
      <w:r>
        <w:rPr>
          <w:rFonts w:hint="eastAsia" w:ascii="仿宋" w:hAnsi="仿宋" w:eastAsia="仿宋" w:cs="仿宋"/>
          <w:b/>
          <w:color w:val="000000"/>
          <w:spacing w:val="20"/>
          <w:sz w:val="36"/>
          <w:szCs w:val="36"/>
        </w:rPr>
        <w:t>单位：</w:t>
      </w:r>
      <w:r>
        <w:rPr>
          <w:rFonts w:hint="eastAsia" w:ascii="仿宋" w:hAnsi="仿宋" w:eastAsia="仿宋" w:cs="仿宋"/>
          <w:b/>
          <w:color w:val="000000"/>
          <w:spacing w:val="20"/>
          <w:sz w:val="36"/>
          <w:szCs w:val="36"/>
          <w:lang w:eastAsia="zh-CN"/>
        </w:rPr>
        <w:t>山东精准产品质量检测有限公司</w:t>
      </w:r>
    </w:p>
    <w:p>
      <w:pPr>
        <w:wordWrap w:val="0"/>
        <w:jc w:val="both"/>
        <w:rPr>
          <w:rFonts w:hint="eastAsia" w:ascii="宋体" w:hAnsi="宋体" w:eastAsia="宋体" w:cs="宋体"/>
          <w:b/>
          <w:bCs/>
          <w:sz w:val="36"/>
          <w:szCs w:val="36"/>
          <w:lang w:val="en-US" w:eastAsia="zh-CN"/>
        </w:rPr>
      </w:pPr>
    </w:p>
    <w:p>
      <w:pPr>
        <w:pStyle w:val="10"/>
        <w:jc w:val="center"/>
        <w:rPr>
          <w:rFonts w:hint="eastAsia" w:ascii="宋体" w:hAnsi="宋体" w:eastAsia="宋体" w:cs="宋体"/>
          <w:b/>
          <w:bCs/>
          <w:sz w:val="36"/>
          <w:szCs w:val="36"/>
          <w:lang w:val="en-US" w:eastAsia="zh-CN"/>
        </w:rPr>
      </w:pPr>
    </w:p>
    <w:p>
      <w:pPr>
        <w:jc w:val="center"/>
        <w:rPr>
          <w:rFonts w:hint="eastAsia"/>
          <w:b/>
          <w:sz w:val="44"/>
          <w:szCs w:val="44"/>
          <w:lang w:val="en-US" w:eastAsia="zh-CN"/>
        </w:rPr>
        <w:sectPr>
          <w:pgSz w:w="11906" w:h="16838"/>
          <w:pgMar w:top="1440" w:right="1274" w:bottom="1440" w:left="1800" w:header="851" w:footer="992" w:gutter="0"/>
          <w:cols w:space="720" w:num="1"/>
          <w:docGrid w:type="lines" w:linePitch="312" w:charSpace="0"/>
        </w:sectPr>
      </w:pPr>
      <w:r>
        <w:rPr>
          <w:rFonts w:hint="eastAsia" w:ascii="仿宋" w:hAnsi="仿宋" w:eastAsia="仿宋" w:cs="仿宋"/>
          <w:b/>
          <w:bCs w:val="0"/>
          <w:color w:val="000000"/>
          <w:sz w:val="36"/>
          <w:szCs w:val="36"/>
        </w:rPr>
        <w:t>抽查时间：</w:t>
      </w:r>
      <w:r>
        <w:rPr>
          <w:rFonts w:hint="eastAsia" w:ascii="仿宋" w:hAnsi="仿宋" w:eastAsia="仿宋" w:cs="仿宋"/>
          <w:b/>
          <w:bCs w:val="0"/>
          <w:color w:val="000000"/>
          <w:spacing w:val="20"/>
          <w:sz w:val="36"/>
          <w:szCs w:val="36"/>
        </w:rPr>
        <w:t>二〇</w:t>
      </w:r>
      <w:r>
        <w:rPr>
          <w:rFonts w:hint="eastAsia" w:ascii="仿宋" w:hAnsi="仿宋" w:eastAsia="仿宋" w:cs="仿宋"/>
          <w:b/>
          <w:bCs w:val="0"/>
          <w:color w:val="000000"/>
          <w:spacing w:val="20"/>
          <w:sz w:val="36"/>
          <w:szCs w:val="36"/>
          <w:lang w:eastAsia="zh-CN"/>
        </w:rPr>
        <w:t>二一</w:t>
      </w:r>
      <w:r>
        <w:rPr>
          <w:rFonts w:hint="eastAsia" w:ascii="仿宋" w:hAnsi="仿宋" w:eastAsia="仿宋" w:cs="仿宋"/>
          <w:b/>
          <w:bCs w:val="0"/>
          <w:color w:val="000000"/>
          <w:spacing w:val="20"/>
          <w:sz w:val="36"/>
          <w:szCs w:val="36"/>
        </w:rPr>
        <w:t>年</w:t>
      </w:r>
    </w:p>
    <w:p>
      <w:pPr>
        <w:jc w:val="center"/>
        <w:outlineLvl w:val="0"/>
        <w:rPr>
          <w:b/>
          <w:sz w:val="44"/>
          <w:szCs w:val="44"/>
        </w:rPr>
      </w:pPr>
      <w:r>
        <w:rPr>
          <w:rFonts w:hint="eastAsia"/>
          <w:b/>
          <w:sz w:val="44"/>
          <w:szCs w:val="44"/>
          <w:lang w:val="en-US" w:eastAsia="zh-CN"/>
        </w:rPr>
        <w:t>2021</w:t>
      </w:r>
      <w:r>
        <w:rPr>
          <w:rFonts w:hint="eastAsia"/>
          <w:b/>
          <w:sz w:val="44"/>
          <w:szCs w:val="44"/>
        </w:rPr>
        <w:t>年</w:t>
      </w:r>
      <w:r>
        <w:rPr>
          <w:rFonts w:hint="eastAsia"/>
          <w:b/>
          <w:sz w:val="44"/>
          <w:szCs w:val="44"/>
          <w:lang w:eastAsia="zh-CN"/>
        </w:rPr>
        <w:t>濮阳市市场监督管理局产品质</w:t>
      </w:r>
      <w:r>
        <w:rPr>
          <w:rFonts w:hint="eastAsia"/>
          <w:b/>
          <w:sz w:val="44"/>
          <w:szCs w:val="44"/>
        </w:rPr>
        <w:t>量监督抽查实施方案</w:t>
      </w:r>
    </w:p>
    <w:p>
      <w:pPr>
        <w:autoSpaceDE w:val="0"/>
        <w:autoSpaceDN w:val="0"/>
        <w:adjustRightInd w:val="0"/>
        <w:ind w:firstLine="640" w:firstLineChars="200"/>
        <w:jc w:val="left"/>
        <w:rPr>
          <w:rFonts w:ascii="仿宋" w:hAnsi="仿宋" w:eastAsia="仿宋"/>
          <w:sz w:val="32"/>
          <w:szCs w:val="32"/>
        </w:rPr>
      </w:pPr>
    </w:p>
    <w:p>
      <w:pPr>
        <w:autoSpaceDE w:val="0"/>
        <w:autoSpaceDN w:val="0"/>
        <w:adjustRightInd w:val="0"/>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为提高产品质量安全监管效能，预防化解产品质量领域重大风险，保障人民群众人身财产安全，着力营造公平竞争的市场环境和安全放心的消费环境，</w:t>
      </w:r>
      <w:r>
        <w:rPr>
          <w:rFonts w:hint="eastAsia" w:ascii="仿宋" w:hAnsi="仿宋" w:eastAsia="仿宋"/>
          <w:color w:val="000000"/>
          <w:sz w:val="32"/>
          <w:szCs w:val="32"/>
          <w:lang w:eastAsia="zh-CN"/>
        </w:rPr>
        <w:t>濮阳市市场监督管理局</w:t>
      </w:r>
      <w:r>
        <w:rPr>
          <w:rFonts w:hint="eastAsia" w:ascii="仿宋" w:hAnsi="仿宋" w:eastAsia="仿宋"/>
          <w:color w:val="000000"/>
          <w:sz w:val="32"/>
          <w:szCs w:val="32"/>
        </w:rPr>
        <w:t>拟于</w:t>
      </w: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年组织开展</w:t>
      </w:r>
      <w:r>
        <w:rPr>
          <w:rFonts w:hint="eastAsia" w:ascii="仿宋" w:hAnsi="仿宋" w:eastAsia="仿宋"/>
          <w:color w:val="000000"/>
          <w:sz w:val="32"/>
          <w:szCs w:val="32"/>
          <w:lang w:eastAsia="zh-CN"/>
        </w:rPr>
        <w:t>濮阳市成品油、润滑油、油漆涂料、胶粘剂、机动车辆制动液、油墨</w:t>
      </w:r>
      <w:r>
        <w:rPr>
          <w:rFonts w:hint="eastAsia" w:ascii="仿宋" w:hAnsi="仿宋" w:eastAsia="仿宋"/>
          <w:color w:val="000000"/>
          <w:sz w:val="32"/>
          <w:szCs w:val="32"/>
        </w:rPr>
        <w:t>产品质量监督抽查，特制定方案如下。</w:t>
      </w:r>
    </w:p>
    <w:p>
      <w:pPr>
        <w:widowControl/>
        <w:tabs>
          <w:tab w:val="left" w:pos="720"/>
        </w:tabs>
        <w:adjustRightInd w:val="0"/>
        <w:spacing w:line="560" w:lineRule="exact"/>
        <w:jc w:val="left"/>
        <w:outlineLvl w:val="0"/>
        <w:rPr>
          <w:rFonts w:ascii="黑体" w:hAnsi="黑体" w:eastAsia="黑体"/>
          <w:b/>
          <w:color w:val="000000"/>
          <w:sz w:val="32"/>
          <w:szCs w:val="32"/>
        </w:rPr>
      </w:pPr>
      <w:r>
        <w:rPr>
          <w:rFonts w:hint="eastAsia" w:ascii="黑体" w:hAnsi="黑体" w:eastAsia="黑体"/>
          <w:b/>
          <w:color w:val="000000"/>
          <w:sz w:val="32"/>
          <w:szCs w:val="32"/>
        </w:rPr>
        <w:t>一、抽检品种及分类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本次监督抽查的品种</w:t>
      </w:r>
      <w:r>
        <w:rPr>
          <w:rFonts w:hint="eastAsia" w:ascii="仿宋" w:hAnsi="仿宋" w:eastAsia="仿宋"/>
          <w:sz w:val="32"/>
          <w:szCs w:val="32"/>
          <w:lang w:eastAsia="zh-CN"/>
        </w:rPr>
        <w:t>为</w:t>
      </w:r>
      <w:r>
        <w:rPr>
          <w:rFonts w:hint="eastAsia" w:ascii="仿宋" w:hAnsi="仿宋" w:eastAsia="仿宋"/>
          <w:color w:val="000000"/>
          <w:sz w:val="32"/>
          <w:szCs w:val="32"/>
          <w:lang w:eastAsia="zh-CN"/>
        </w:rPr>
        <w:t>成品油、润滑油、油漆涂料、胶粘剂、机动车辆制动液、油墨</w:t>
      </w:r>
      <w:r>
        <w:rPr>
          <w:rFonts w:hint="default" w:ascii="仿宋" w:hAnsi="仿宋" w:eastAsia="仿宋"/>
          <w:color w:val="000000"/>
          <w:sz w:val="32"/>
          <w:szCs w:val="32"/>
          <w:lang w:eastAsia="zh-CN"/>
        </w:rPr>
        <w:t>等</w:t>
      </w:r>
      <w:r>
        <w:rPr>
          <w:rFonts w:hint="eastAsia" w:ascii="仿宋" w:hAnsi="仿宋" w:eastAsia="仿宋"/>
          <w:sz w:val="32"/>
          <w:szCs w:val="32"/>
          <w:lang w:val="en-US" w:eastAsia="zh-CN"/>
        </w:rPr>
        <w:t>6</w:t>
      </w:r>
      <w:r>
        <w:rPr>
          <w:rFonts w:hint="eastAsia" w:ascii="仿宋" w:hAnsi="仿宋" w:eastAsia="仿宋"/>
          <w:sz w:val="32"/>
          <w:szCs w:val="32"/>
        </w:rPr>
        <w:t>个品种。</w:t>
      </w:r>
    </w:p>
    <w:p>
      <w:pPr>
        <w:widowControl/>
        <w:tabs>
          <w:tab w:val="left" w:pos="720"/>
        </w:tabs>
        <w:adjustRightInd w:val="0"/>
        <w:spacing w:line="560" w:lineRule="exact"/>
        <w:jc w:val="left"/>
        <w:outlineLvl w:val="0"/>
        <w:rPr>
          <w:rFonts w:ascii="黑体" w:hAnsi="黑体" w:eastAsia="黑体"/>
          <w:b/>
          <w:color w:val="000000"/>
          <w:sz w:val="32"/>
          <w:szCs w:val="32"/>
        </w:rPr>
      </w:pPr>
      <w:r>
        <w:rPr>
          <w:rFonts w:hint="eastAsia" w:ascii="黑体" w:hAnsi="黑体" w:eastAsia="黑体"/>
          <w:b/>
          <w:color w:val="000000"/>
          <w:sz w:val="32"/>
          <w:szCs w:val="32"/>
          <w:lang w:eastAsia="zh-CN"/>
        </w:rPr>
        <w:t>二</w:t>
      </w:r>
      <w:r>
        <w:rPr>
          <w:rFonts w:hint="eastAsia" w:ascii="黑体" w:hAnsi="黑体" w:eastAsia="黑体"/>
          <w:b/>
          <w:color w:val="000000"/>
          <w:sz w:val="32"/>
          <w:szCs w:val="32"/>
        </w:rPr>
        <w:t>、抽样地点及场所</w:t>
      </w:r>
    </w:p>
    <w:p>
      <w:pPr>
        <w:topLinePunct/>
        <w:adjustRightInd w:val="0"/>
        <w:ind w:firstLine="640" w:firstLineChars="200"/>
        <w:rPr>
          <w:rFonts w:ascii="仿宋" w:hAnsi="仿宋" w:eastAsia="仿宋"/>
          <w:color w:val="000000"/>
          <w:sz w:val="32"/>
          <w:szCs w:val="32"/>
        </w:rPr>
      </w:pPr>
      <w:r>
        <w:rPr>
          <w:rFonts w:hint="eastAsia" w:ascii="仿宋" w:hAnsi="仿宋" w:eastAsia="仿宋"/>
          <w:color w:val="000000"/>
          <w:sz w:val="32"/>
          <w:szCs w:val="32"/>
        </w:rPr>
        <w:t>本次抽样地点</w:t>
      </w:r>
      <w:r>
        <w:rPr>
          <w:rFonts w:hint="eastAsia" w:ascii="仿宋" w:hAnsi="仿宋" w:eastAsia="仿宋"/>
          <w:color w:val="000000"/>
          <w:sz w:val="32"/>
          <w:szCs w:val="32"/>
          <w:lang w:eastAsia="zh-CN"/>
        </w:rPr>
        <w:t>为濮阳市市场监督管理局所辖区域内。</w:t>
      </w:r>
    </w:p>
    <w:p>
      <w:pPr>
        <w:widowControl/>
        <w:tabs>
          <w:tab w:val="left" w:pos="720"/>
        </w:tabs>
        <w:adjustRightInd w:val="0"/>
        <w:spacing w:line="560" w:lineRule="exact"/>
        <w:jc w:val="left"/>
        <w:outlineLvl w:val="0"/>
        <w:rPr>
          <w:rFonts w:ascii="黑体" w:hAnsi="黑体" w:eastAsia="黑体"/>
          <w:b/>
          <w:color w:val="000000"/>
          <w:sz w:val="32"/>
          <w:szCs w:val="32"/>
        </w:rPr>
      </w:pPr>
      <w:r>
        <w:rPr>
          <w:rFonts w:hint="eastAsia" w:ascii="黑体" w:hAnsi="黑体" w:eastAsia="黑体"/>
          <w:b/>
          <w:color w:val="000000"/>
          <w:sz w:val="32"/>
          <w:szCs w:val="32"/>
          <w:lang w:eastAsia="zh-CN"/>
        </w:rPr>
        <w:t>三</w:t>
      </w:r>
      <w:r>
        <w:rPr>
          <w:rFonts w:hint="eastAsia" w:ascii="黑体" w:hAnsi="黑体" w:eastAsia="黑体"/>
          <w:b/>
          <w:color w:val="000000"/>
          <w:sz w:val="32"/>
          <w:szCs w:val="32"/>
        </w:rPr>
        <w:t>、抽样方法</w:t>
      </w:r>
    </w:p>
    <w:p>
      <w:pPr>
        <w:topLinePunct/>
        <w:adjustRightInd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在市场上，随机抽取同一品牌、同一生产厂家、同一规格型号、同一批次的，并有产品质量检验合格证明或者以其他形式表明合格的产品。抽样基数应不少于抽取样品量，备份样品封存于销售者处。抽样数量分别如表</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w:t>
      </w:r>
    </w:p>
    <w:p>
      <w:pPr>
        <w:pStyle w:val="21"/>
        <w:jc w:val="center"/>
        <w:rPr>
          <w:rFonts w:hint="default" w:eastAsiaTheme="minorEastAsia"/>
          <w:sz w:val="28"/>
          <w:szCs w:val="28"/>
          <w:lang w:val="en-US" w:eastAsia="zh-CN"/>
        </w:rPr>
      </w:pPr>
      <w:r>
        <w:rPr>
          <w:rFonts w:hint="eastAsia"/>
          <w:sz w:val="28"/>
          <w:szCs w:val="28"/>
          <w:lang w:eastAsia="zh-CN"/>
        </w:rPr>
        <w:t>表</w:t>
      </w:r>
      <w:r>
        <w:rPr>
          <w:rFonts w:hint="eastAsia"/>
          <w:sz w:val="28"/>
          <w:szCs w:val="28"/>
          <w:lang w:val="en-US" w:eastAsia="zh-CN"/>
        </w:rPr>
        <w:t>1 各产品抽样数量</w:t>
      </w:r>
    </w:p>
    <w:tbl>
      <w:tblPr>
        <w:tblStyle w:val="18"/>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186"/>
        <w:gridCol w:w="1472"/>
        <w:gridCol w:w="2434"/>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715" w:type="dxa"/>
            <w:vAlign w:val="center"/>
          </w:tcPr>
          <w:p>
            <w:pPr>
              <w:spacing w:line="24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序号</w:t>
            </w:r>
          </w:p>
        </w:tc>
        <w:tc>
          <w:tcPr>
            <w:tcW w:w="2186" w:type="dxa"/>
            <w:vAlign w:val="center"/>
          </w:tcPr>
          <w:p>
            <w:pPr>
              <w:spacing w:line="24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品 种</w:t>
            </w:r>
          </w:p>
        </w:tc>
        <w:tc>
          <w:tcPr>
            <w:tcW w:w="1472" w:type="dxa"/>
            <w:vAlign w:val="center"/>
          </w:tcPr>
          <w:p>
            <w:pPr>
              <w:spacing w:line="24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抽样数量</w:t>
            </w:r>
          </w:p>
        </w:tc>
        <w:tc>
          <w:tcPr>
            <w:tcW w:w="2434" w:type="dxa"/>
            <w:vAlign w:val="center"/>
          </w:tcPr>
          <w:p>
            <w:pPr>
              <w:spacing w:line="24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检验样品</w:t>
            </w:r>
          </w:p>
        </w:tc>
        <w:tc>
          <w:tcPr>
            <w:tcW w:w="2664" w:type="dxa"/>
            <w:vAlign w:val="center"/>
          </w:tcPr>
          <w:p>
            <w:pPr>
              <w:spacing w:line="24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eastAsia="zh-CN"/>
              </w:rPr>
              <w:t>备份样品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2186" w:type="dxa"/>
            <w:vAlign w:val="center"/>
          </w:tcPr>
          <w:p>
            <w:pPr>
              <w:keepNext w:val="0"/>
              <w:keepLines w:val="0"/>
              <w:widowControl/>
              <w:suppressLineNumbers w:val="0"/>
              <w:spacing w:line="24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成品油</w:t>
            </w:r>
          </w:p>
        </w:tc>
        <w:tc>
          <w:tcPr>
            <w:tcW w:w="1472"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6L</w:t>
            </w:r>
          </w:p>
        </w:tc>
        <w:tc>
          <w:tcPr>
            <w:tcW w:w="243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4L</w:t>
            </w:r>
          </w:p>
        </w:tc>
        <w:tc>
          <w:tcPr>
            <w:tcW w:w="2664"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润滑油</w:t>
            </w:r>
          </w:p>
        </w:tc>
        <w:tc>
          <w:tcPr>
            <w:tcW w:w="1472"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b w:val="0"/>
                <w:bCs/>
                <w:color w:val="auto"/>
                <w:kern w:val="2"/>
                <w:sz w:val="24"/>
                <w:szCs w:val="24"/>
                <w:lang w:val="en-US" w:eastAsia="zh-CN" w:bidi="ar-SA"/>
              </w:rPr>
            </w:pPr>
            <w:r>
              <w:rPr>
                <w:rFonts w:hint="eastAsia" w:ascii="仿宋" w:hAnsi="仿宋" w:eastAsia="仿宋" w:cs="仿宋"/>
                <w:color w:val="000000"/>
                <w:sz w:val="24"/>
                <w:szCs w:val="24"/>
                <w:vertAlign w:val="baseline"/>
                <w:lang w:val="en-US" w:eastAsia="zh-CN"/>
              </w:rPr>
              <w:t>2桶</w:t>
            </w:r>
          </w:p>
        </w:tc>
        <w:tc>
          <w:tcPr>
            <w:tcW w:w="24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（不少于2L）</w:t>
            </w:r>
          </w:p>
        </w:tc>
        <w:tc>
          <w:tcPr>
            <w:tcW w:w="26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（不少于2L）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合成树脂乳液内墙涂料</w:t>
            </w:r>
          </w:p>
        </w:tc>
        <w:tc>
          <w:tcPr>
            <w:tcW w:w="14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2桶</w:t>
            </w:r>
          </w:p>
        </w:tc>
        <w:tc>
          <w:tcPr>
            <w:tcW w:w="24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（不少于2kg）</w:t>
            </w:r>
          </w:p>
        </w:tc>
        <w:tc>
          <w:tcPr>
            <w:tcW w:w="26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（不少于2kg）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合成树脂乳液外墙涂料</w:t>
            </w:r>
          </w:p>
        </w:tc>
        <w:tc>
          <w:tcPr>
            <w:tcW w:w="14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2桶</w:t>
            </w:r>
          </w:p>
        </w:tc>
        <w:tc>
          <w:tcPr>
            <w:tcW w:w="24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（不少于2kg）</w:t>
            </w:r>
          </w:p>
        </w:tc>
        <w:tc>
          <w:tcPr>
            <w:tcW w:w="26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（不少于2kg）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醇酸树脂涂料</w:t>
            </w:r>
          </w:p>
        </w:tc>
        <w:tc>
          <w:tcPr>
            <w:tcW w:w="14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2桶</w:t>
            </w:r>
            <w:bookmarkStart w:id="0" w:name="_GoBack"/>
            <w:bookmarkEnd w:id="0"/>
          </w:p>
        </w:tc>
        <w:tc>
          <w:tcPr>
            <w:tcW w:w="24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（不少于2kg）</w:t>
            </w:r>
          </w:p>
        </w:tc>
        <w:tc>
          <w:tcPr>
            <w:tcW w:w="26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（不少于2kg）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建筑外墙用腻子</w:t>
            </w:r>
          </w:p>
        </w:tc>
        <w:tc>
          <w:tcPr>
            <w:tcW w:w="1472"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2袋</w:t>
            </w:r>
          </w:p>
        </w:tc>
        <w:tc>
          <w:tcPr>
            <w:tcW w:w="243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1袋</w:t>
            </w:r>
          </w:p>
        </w:tc>
        <w:tc>
          <w:tcPr>
            <w:tcW w:w="266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1袋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建筑室内用腻子</w:t>
            </w:r>
          </w:p>
        </w:tc>
        <w:tc>
          <w:tcPr>
            <w:tcW w:w="1472"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2袋</w:t>
            </w:r>
          </w:p>
        </w:tc>
        <w:tc>
          <w:tcPr>
            <w:tcW w:w="243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1袋</w:t>
            </w:r>
          </w:p>
        </w:tc>
        <w:tc>
          <w:tcPr>
            <w:tcW w:w="266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1袋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聚乙酸乙烯酯乳液木材胶粘剂</w:t>
            </w:r>
          </w:p>
        </w:tc>
        <w:tc>
          <w:tcPr>
            <w:tcW w:w="1472"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vertAlign w:val="baseline"/>
                <w:lang w:val="en-US" w:eastAsia="zh-CN"/>
              </w:rPr>
              <w:t>2桶</w:t>
            </w:r>
          </w:p>
        </w:tc>
        <w:tc>
          <w:tcPr>
            <w:tcW w:w="243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vertAlign w:val="baseline"/>
                <w:lang w:val="en-US" w:eastAsia="zh-CN"/>
              </w:rPr>
              <w:t>1桶                      （不少于2kg）</w:t>
            </w:r>
          </w:p>
        </w:tc>
        <w:tc>
          <w:tcPr>
            <w:tcW w:w="266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vertAlign w:val="baseline"/>
                <w:lang w:val="en-US" w:eastAsia="zh-CN"/>
              </w:rPr>
              <w:t>1桶                 （不少于2kg）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中性硅酮结构胶</w:t>
            </w:r>
          </w:p>
        </w:tc>
        <w:tc>
          <w:tcPr>
            <w:tcW w:w="1472"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vertAlign w:val="baseline"/>
                <w:lang w:val="en-US" w:eastAsia="zh-CN"/>
              </w:rPr>
              <w:t>4支</w:t>
            </w:r>
          </w:p>
        </w:tc>
        <w:tc>
          <w:tcPr>
            <w:tcW w:w="243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2支</w:t>
            </w:r>
          </w:p>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vertAlign w:val="baseline"/>
                <w:lang w:val="en-US" w:eastAsia="zh-CN"/>
              </w:rPr>
              <w:t>（每支不少于300ml）</w:t>
            </w:r>
          </w:p>
        </w:tc>
        <w:tc>
          <w:tcPr>
            <w:tcW w:w="266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vertAlign w:val="baseline"/>
                <w:lang w:val="en-US" w:eastAsia="zh-CN"/>
              </w:rPr>
              <w:t>1桶                 （每支不少于300ml）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c>
          <w:tcPr>
            <w:tcW w:w="2186" w:type="dxa"/>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机动车辆制动液</w:t>
            </w:r>
          </w:p>
        </w:tc>
        <w:tc>
          <w:tcPr>
            <w:tcW w:w="1472" w:type="dxa"/>
            <w:vAlign w:val="center"/>
          </w:tcPr>
          <w:p>
            <w:pPr>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2桶</w:t>
            </w:r>
          </w:p>
        </w:tc>
        <w:tc>
          <w:tcPr>
            <w:tcW w:w="2434" w:type="dxa"/>
            <w:vAlign w:val="center"/>
          </w:tcPr>
          <w:p>
            <w:pPr>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1桶</w:t>
            </w:r>
          </w:p>
          <w:p>
            <w:pPr>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（不少于2L）</w:t>
            </w:r>
          </w:p>
        </w:tc>
        <w:tc>
          <w:tcPr>
            <w:tcW w:w="2664" w:type="dxa"/>
            <w:vAlign w:val="center"/>
          </w:tcPr>
          <w:p>
            <w:pPr>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1桶</w:t>
            </w:r>
          </w:p>
          <w:p>
            <w:pPr>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（不少于2L）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715"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w:t>
            </w:r>
          </w:p>
        </w:tc>
        <w:tc>
          <w:tcPr>
            <w:tcW w:w="2186" w:type="dxa"/>
            <w:vAlign w:val="center"/>
          </w:tcPr>
          <w:p>
            <w:pPr>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油墨</w:t>
            </w:r>
          </w:p>
        </w:tc>
        <w:tc>
          <w:tcPr>
            <w:tcW w:w="1472"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2个</w:t>
            </w:r>
          </w:p>
        </w:tc>
        <w:tc>
          <w:tcPr>
            <w:tcW w:w="243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1个</w:t>
            </w:r>
          </w:p>
        </w:tc>
        <w:tc>
          <w:tcPr>
            <w:tcW w:w="2664" w:type="dxa"/>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vertAlign w:val="baseline"/>
                <w:lang w:val="en-US" w:eastAsia="zh-CN"/>
              </w:rPr>
              <w:t>1个</w:t>
            </w:r>
          </w:p>
        </w:tc>
      </w:tr>
    </w:tbl>
    <w:p>
      <w:pPr>
        <w:pStyle w:val="17"/>
        <w:numPr>
          <w:ilvl w:val="0"/>
          <w:numId w:val="0"/>
        </w:numPr>
        <w:jc w:val="left"/>
        <w:rPr>
          <w:rFonts w:hint="eastAsia" w:ascii="黑体" w:hAnsi="黑体" w:eastAsia="黑体"/>
          <w:lang w:val="en-US" w:eastAsia="zh-CN"/>
        </w:rPr>
      </w:pPr>
      <w:r>
        <w:rPr>
          <w:rFonts w:hint="eastAsia" w:ascii="黑体" w:hAnsi="黑体" w:eastAsia="黑体"/>
          <w:lang w:eastAsia="zh-CN"/>
        </w:rPr>
        <w:t>四、</w:t>
      </w:r>
      <w:r>
        <w:rPr>
          <w:rFonts w:hint="eastAsia" w:ascii="黑体" w:hAnsi="黑体" w:eastAsia="黑体"/>
        </w:rPr>
        <w:t>抽查检验项目</w:t>
      </w:r>
      <w:r>
        <w:rPr>
          <w:rFonts w:hint="eastAsia" w:ascii="黑体" w:hAnsi="黑体" w:eastAsia="黑体"/>
          <w:lang w:eastAsia="zh-CN"/>
        </w:rPr>
        <w:t>及检测费用见表</w:t>
      </w:r>
      <w:r>
        <w:rPr>
          <w:rFonts w:hint="eastAsia" w:ascii="黑体" w:hAnsi="黑体" w:eastAsia="黑体"/>
          <w:lang w:val="en-US" w:eastAsia="zh-CN"/>
        </w:rPr>
        <w:t>2</w:t>
      </w:r>
    </w:p>
    <w:p>
      <w:pPr>
        <w:numPr>
          <w:ilvl w:val="0"/>
          <w:numId w:val="0"/>
        </w:numPr>
        <w:jc w:val="center"/>
        <w:rPr>
          <w:rFonts w:hint="eastAsia" w:ascii="仿宋" w:hAnsi="仿宋" w:eastAsia="仿宋" w:cs="仿宋"/>
          <w:b/>
          <w:bCs/>
          <w:sz w:val="28"/>
          <w:szCs w:val="32"/>
          <w:lang w:val="en-US" w:eastAsia="zh-CN"/>
        </w:rPr>
      </w:pPr>
      <w:r>
        <w:rPr>
          <w:rFonts w:hint="eastAsia" w:ascii="仿宋" w:hAnsi="仿宋" w:eastAsia="仿宋" w:cs="仿宋"/>
          <w:b/>
          <w:bCs/>
          <w:sz w:val="28"/>
          <w:szCs w:val="32"/>
          <w:lang w:val="en-US" w:eastAsia="zh-CN"/>
        </w:rPr>
        <w:t>表2  抽查检验项目及检测费用</w:t>
      </w:r>
    </w:p>
    <w:tbl>
      <w:tblPr>
        <w:tblStyle w:val="18"/>
        <w:tblW w:w="864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43"/>
        <w:gridCol w:w="1188"/>
        <w:gridCol w:w="623"/>
        <w:gridCol w:w="1916"/>
        <w:gridCol w:w="1716"/>
        <w:gridCol w:w="64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0" w:hRule="atLeast"/>
          <w:jc w:val="right"/>
        </w:trPr>
        <w:tc>
          <w:tcPr>
            <w:tcW w:w="124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产品类别</w:t>
            </w:r>
          </w:p>
        </w:tc>
        <w:tc>
          <w:tcPr>
            <w:tcW w:w="118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产品名称</w:t>
            </w:r>
          </w:p>
        </w:tc>
        <w:tc>
          <w:tcPr>
            <w:tcW w:w="62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检测项目</w:t>
            </w:r>
          </w:p>
        </w:tc>
        <w:tc>
          <w:tcPr>
            <w:tcW w:w="1716"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执行标准</w:t>
            </w:r>
          </w:p>
        </w:tc>
        <w:tc>
          <w:tcPr>
            <w:tcW w:w="64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批次</w:t>
            </w:r>
          </w:p>
        </w:tc>
        <w:tc>
          <w:tcPr>
            <w:tcW w:w="1305"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检测费              （元/批次）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成品油</w:t>
            </w: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车用乙醇汽油(E10)</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研究法辛烷值</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GB18351-2017         《车用乙醇汽油(E10)》</w:t>
            </w:r>
          </w:p>
        </w:tc>
        <w:tc>
          <w:tcPr>
            <w:tcW w:w="649"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05"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铅含量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馏程</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蒸气压</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胶质含量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诱导期</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硫含量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硫醇</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铜片腐蚀</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水溶性酸或碱</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机械杂质</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水分</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乙醇含量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其他有机含氧化合物含量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苯含量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芳烃含量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烯烃含量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锰含量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铁含量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密度</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车用柴油</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氧化安定性/（以总不溶物计）</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GB19147-2016         《车用柴油》</w:t>
            </w: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硫含量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酸度（以KOH计）</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10％蒸余物残炭</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灰分</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铜片腐蚀</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润滑性（校正磨痕直径）60℃</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多环芳烃含量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总污染物含量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运动黏度</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凝点</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冷滤点</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闪点（闭口）</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十六烷值</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十六烷指数</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馏程</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密度</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脂肪酸甲酯含量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润滑油</w:t>
            </w: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汽油机油、柴油机油</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运动黏度</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GB 11121-2006        《汽油机油》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GB 11122-2006         《柴油机油》</w:t>
            </w:r>
          </w:p>
        </w:tc>
        <w:tc>
          <w:tcPr>
            <w:tcW w:w="649"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0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倾点</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水分</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机械杂质</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闪点（开口）</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涂料</w:t>
            </w: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合成树脂乳液内墙涂料</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容器中状态</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GB/T 9756-2018            《合成树脂乳液内墙涂料》         GB 18582-2021              《建筑用墙面涂料中有害物质限量》</w:t>
            </w:r>
          </w:p>
        </w:tc>
        <w:tc>
          <w:tcPr>
            <w:tcW w:w="649"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0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施工性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对比率</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耐洗刷性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V0C</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甲苯与二甲苯（含乙苯）总和含量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合成树脂乳液外墙涂料</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容器中状态</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GB/T 9755-2014             《合成树脂乳液外墙涂料》            GB 18582-2021              《建筑用墙面涂料中有害物质限量》</w:t>
            </w: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施工性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涂膜外观</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干燥时间</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耐碱性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对比率</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耐洗刷性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VOC</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甲苯与二甲苯（含乙苯）总和含量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right"/>
        </w:trPr>
        <w:tc>
          <w:tcPr>
            <w:tcW w:w="1243"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胶粘剂</w:t>
            </w: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聚乙酸乙烯酯乳液木材胶粘剂</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外观</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HG/T 2727-2010  《聚乙酸乙烯酯乳液木材胶粘剂》     </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GB 18583-2008       《室内装饰装修材料 胶粘剂中有害物质限量》</w:t>
            </w:r>
          </w:p>
        </w:tc>
        <w:tc>
          <w:tcPr>
            <w:tcW w:w="649"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305"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PH值</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黏度</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不挥发物</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中性硅酮结构胶</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外观</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GB/T 14683-2017       《 硅酮和改性硅酮建筑密封胶》          GB 18583-2008    《室内装饰装修材料 胶粘剂中有害物质限量》</w:t>
            </w: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下垂度</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表干时间</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苯</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甲苯+二甲苯</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油漆</w:t>
            </w: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醇酸树脂涂料</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在容器中状态</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GB/T 25251-2010           《 醇酸树脂涂料》                GB 18582-2021              《建筑用墙面涂料中有害物质限量》</w:t>
            </w:r>
          </w:p>
        </w:tc>
        <w:tc>
          <w:tcPr>
            <w:tcW w:w="649"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30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细度</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不挥发物含量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结皮性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施工性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干燥时间</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漆膜外观</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划格试验</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VOC</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苯含量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甲苯与二甲苯（含乙苯）总和含量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建筑外墙用腻子</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容器中状态</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JG/T 157-2009      《建筑外墙用腻子》                    GB 18582-2021              《建筑用墙面涂料中有害物质限量》</w:t>
            </w: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restart"/>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施工性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干燥时间</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初期干燥抗裂性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打磨性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VOC</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耐水性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建筑室内用腻子</w:t>
            </w: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容器中状态</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JG/T 298-2010            《建筑室内用腻子》                 GB 18582-2021              《建筑用墙面涂料中有害物质限量》</w:t>
            </w: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低温贮存稳定性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施工性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干燥时间</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初期干燥抗裂性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打磨性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耐水性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VOC</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right"/>
        </w:trPr>
        <w:tc>
          <w:tcPr>
            <w:tcW w:w="1243" w:type="dxa"/>
            <w:vMerge w:val="continue"/>
            <w:shd w:val="clear" w:color="auto" w:fill="auto"/>
            <w:noWrap/>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甲苯与二甲苯（含乙苯）总和含量</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机动车辆制动液</w:t>
            </w:r>
          </w:p>
        </w:tc>
        <w:tc>
          <w:tcPr>
            <w:tcW w:w="118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机动车辆制动液</w:t>
            </w:r>
          </w:p>
        </w:tc>
        <w:tc>
          <w:tcPr>
            <w:tcW w:w="62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外观</w:t>
            </w:r>
          </w:p>
        </w:tc>
        <w:tc>
          <w:tcPr>
            <w:tcW w:w="1716"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GB12981-2012      《机动车辆制动液》</w:t>
            </w:r>
          </w:p>
        </w:tc>
        <w:tc>
          <w:tcPr>
            <w:tcW w:w="649"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30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运动黏度</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平衡回流沸点</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湿平衡回流沸点</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pH值</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188"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2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916" w:type="dxa"/>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液体稳定性</w:t>
            </w:r>
          </w:p>
        </w:tc>
        <w:tc>
          <w:tcPr>
            <w:tcW w:w="1716"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649"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c>
          <w:tcPr>
            <w:tcW w:w="1305" w:type="dxa"/>
            <w:vMerge w:val="continue"/>
            <w:shd w:val="clear" w:color="auto" w:fill="auto"/>
            <w:tcMar>
              <w:top w:w="15" w:type="dxa"/>
              <w:left w:w="15" w:type="dxa"/>
              <w:right w:w="15" w:type="dxa"/>
            </w:tcMar>
            <w:vAlign w:val="center"/>
          </w:tcPr>
          <w:p>
            <w:pPr>
              <w:spacing w:line="240" w:lineRule="auto"/>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right"/>
        </w:trPr>
        <w:tc>
          <w:tcPr>
            <w:tcW w:w="124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油墨</w:t>
            </w:r>
          </w:p>
        </w:tc>
        <w:tc>
          <w:tcPr>
            <w:tcW w:w="118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醇溶性表印凹版油墨</w:t>
            </w:r>
          </w:p>
        </w:tc>
        <w:tc>
          <w:tcPr>
            <w:tcW w:w="62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91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细度</w:t>
            </w:r>
          </w:p>
        </w:tc>
        <w:tc>
          <w:tcPr>
            <w:tcW w:w="171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QB/T 4755-2014         《醇溶性表印凹版油墨》</w:t>
            </w:r>
          </w:p>
        </w:tc>
        <w:tc>
          <w:tcPr>
            <w:tcW w:w="64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30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r>
    </w:tbl>
    <w:p>
      <w:pPr>
        <w:pStyle w:val="21"/>
        <w:ind w:left="0" w:leftChars="0" w:firstLine="0" w:firstLineChars="0"/>
        <w:rPr>
          <w:rFonts w:hint="eastAsia"/>
          <w:lang w:val="en-US" w:eastAsia="zh-CN"/>
        </w:rPr>
      </w:pPr>
    </w:p>
    <w:p>
      <w:pPr>
        <w:pStyle w:val="17"/>
        <w:numPr>
          <w:ilvl w:val="0"/>
          <w:numId w:val="0"/>
        </w:numPr>
        <w:jc w:val="left"/>
        <w:rPr>
          <w:rFonts w:hint="eastAsia"/>
          <w:lang w:eastAsia="zh-CN"/>
        </w:rPr>
      </w:pPr>
      <w:r>
        <w:rPr>
          <w:rFonts w:hint="eastAsia" w:ascii="黑体" w:hAnsi="黑体" w:eastAsia="黑体"/>
          <w:lang w:eastAsia="zh-CN"/>
        </w:rPr>
        <w:t>五、进度要求</w:t>
      </w:r>
    </w:p>
    <w:p>
      <w:pPr>
        <w:rPr>
          <w:rFonts w:hint="eastAsia"/>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9"/>
        <w:gridCol w:w="2693"/>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tcPr>
          <w:p>
            <w:pPr>
              <w:numPr>
                <w:ilvl w:val="0"/>
                <w:numId w:val="0"/>
              </w:numPr>
              <w:jc w:val="center"/>
              <w:rPr>
                <w:rFonts w:hint="eastAsia"/>
                <w:vertAlign w:val="baseline"/>
                <w:lang w:eastAsia="zh-CN"/>
              </w:rPr>
            </w:pPr>
            <w:r>
              <w:rPr>
                <w:rFonts w:hint="eastAsia" w:ascii="仿宋" w:hAnsi="仿宋" w:eastAsia="仿宋" w:cs="仿宋"/>
                <w:color w:val="auto"/>
                <w:kern w:val="2"/>
                <w:sz w:val="28"/>
                <w:szCs w:val="28"/>
                <w:lang w:val="en-US" w:eastAsia="zh-CN" w:bidi="ar-SA"/>
              </w:rPr>
              <w:t>工作过程</w:t>
            </w:r>
          </w:p>
        </w:tc>
        <w:tc>
          <w:tcPr>
            <w:tcW w:w="5709" w:type="dxa"/>
            <w:gridSpan w:val="2"/>
          </w:tcPr>
          <w:p>
            <w:pPr>
              <w:numPr>
                <w:ilvl w:val="0"/>
                <w:numId w:val="0"/>
              </w:numPr>
              <w:jc w:val="center"/>
              <w:rPr>
                <w:rFonts w:hint="eastAsia"/>
                <w:vertAlign w:val="baseline"/>
                <w:lang w:eastAsia="zh-CN"/>
              </w:rPr>
            </w:pPr>
            <w:r>
              <w:rPr>
                <w:rFonts w:hint="eastAsia" w:ascii="仿宋" w:hAnsi="仿宋" w:eastAsia="仿宋" w:cs="仿宋"/>
                <w:color w:val="auto"/>
                <w:kern w:val="2"/>
                <w:sz w:val="28"/>
                <w:szCs w:val="28"/>
                <w:lang w:val="en-US" w:eastAsia="zh-CN" w:bidi="ar-SA"/>
              </w:rPr>
              <w:t>分工和进度要求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Merge w:val="restart"/>
          </w:tcPr>
          <w:p>
            <w:pPr>
              <w:numPr>
                <w:ilvl w:val="0"/>
                <w:numId w:val="0"/>
              </w:numPr>
              <w:rPr>
                <w:rFonts w:hint="eastAsia"/>
                <w:vertAlign w:val="baseline"/>
                <w:lang w:eastAsia="zh-CN"/>
              </w:rPr>
            </w:pPr>
            <w:r>
              <w:rPr>
                <w:rFonts w:hint="eastAsia" w:ascii="仿宋" w:hAnsi="仿宋" w:eastAsia="仿宋" w:cs="仿宋"/>
                <w:color w:val="auto"/>
                <w:kern w:val="2"/>
                <w:sz w:val="28"/>
                <w:szCs w:val="28"/>
                <w:lang w:val="en-US" w:eastAsia="zh-CN" w:bidi="ar-SA"/>
              </w:rPr>
              <w:t>组织、承检机构</w:t>
            </w:r>
          </w:p>
        </w:tc>
        <w:tc>
          <w:tcPr>
            <w:tcW w:w="2693" w:type="dxa"/>
            <w:vAlign w:val="center"/>
          </w:tcPr>
          <w:p>
            <w:pPr>
              <w:spacing w:line="440" w:lineRule="exact"/>
              <w:jc w:val="center"/>
              <w:rPr>
                <w:rFonts w:hint="eastAsia"/>
                <w:vertAlign w:val="baseline"/>
                <w:lang w:eastAsia="zh-CN"/>
              </w:rPr>
            </w:pPr>
            <w:r>
              <w:rPr>
                <w:rFonts w:hint="eastAsia" w:ascii="仿宋" w:hAnsi="仿宋" w:eastAsia="仿宋" w:cs="仿宋"/>
                <w:color w:val="auto"/>
                <w:kern w:val="2"/>
                <w:sz w:val="28"/>
                <w:szCs w:val="28"/>
                <w:lang w:val="en-US" w:eastAsia="zh-CN" w:bidi="ar-SA"/>
              </w:rPr>
              <w:t>组织单位</w:t>
            </w:r>
          </w:p>
        </w:tc>
        <w:tc>
          <w:tcPr>
            <w:tcW w:w="3016" w:type="dxa"/>
            <w:vAlign w:val="center"/>
          </w:tcPr>
          <w:p>
            <w:pPr>
              <w:spacing w:line="440" w:lineRule="exact"/>
              <w:jc w:val="center"/>
              <w:rPr>
                <w:rFonts w:hint="eastAsia"/>
                <w:vertAlign w:val="baseline"/>
                <w:lang w:eastAsia="zh-CN"/>
              </w:rPr>
            </w:pPr>
            <w:r>
              <w:rPr>
                <w:rFonts w:hint="eastAsia" w:ascii="仿宋" w:hAnsi="仿宋" w:eastAsia="仿宋" w:cs="仿宋"/>
                <w:color w:val="auto"/>
                <w:kern w:val="2"/>
                <w:sz w:val="28"/>
                <w:szCs w:val="28"/>
                <w:lang w:val="en-US" w:eastAsia="zh-CN" w:bidi="ar-SA"/>
              </w:rPr>
              <w:t>承检单位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Merge w:val="continue"/>
          </w:tcPr>
          <w:p>
            <w:pPr>
              <w:numPr>
                <w:ilvl w:val="0"/>
                <w:numId w:val="0"/>
              </w:numPr>
              <w:rPr>
                <w:rFonts w:hint="eastAsia"/>
                <w:vertAlign w:val="baseline"/>
                <w:lang w:eastAsia="zh-CN"/>
              </w:rPr>
            </w:pPr>
          </w:p>
        </w:tc>
        <w:tc>
          <w:tcPr>
            <w:tcW w:w="2693" w:type="dxa"/>
            <w:vAlign w:val="center"/>
          </w:tcPr>
          <w:p>
            <w:pPr>
              <w:spacing w:line="440" w:lineRule="exact"/>
              <w:jc w:val="center"/>
              <w:rPr>
                <w:rFonts w:hint="eastAsia"/>
                <w:vertAlign w:val="baseline"/>
                <w:lang w:eastAsia="zh-CN"/>
              </w:rPr>
            </w:pPr>
            <w:r>
              <w:rPr>
                <w:rFonts w:hint="eastAsia" w:ascii="仿宋" w:hAnsi="仿宋" w:eastAsia="仿宋" w:cs="仿宋"/>
                <w:color w:val="auto"/>
                <w:kern w:val="2"/>
                <w:sz w:val="28"/>
                <w:szCs w:val="28"/>
                <w:lang w:val="en-US" w:eastAsia="zh-CN" w:bidi="ar-SA"/>
              </w:rPr>
              <w:t>濮阳市市场监督管理局</w:t>
            </w:r>
          </w:p>
        </w:tc>
        <w:tc>
          <w:tcPr>
            <w:tcW w:w="3016" w:type="dxa"/>
            <w:vAlign w:val="center"/>
          </w:tcPr>
          <w:p>
            <w:pPr>
              <w:spacing w:line="440" w:lineRule="exact"/>
              <w:jc w:val="center"/>
              <w:rPr>
                <w:rFonts w:hint="eastAsia"/>
                <w:vertAlign w:val="baseline"/>
                <w:lang w:eastAsia="zh-CN"/>
              </w:rPr>
            </w:pPr>
            <w:r>
              <w:rPr>
                <w:rFonts w:hint="eastAsia" w:ascii="仿宋" w:hAnsi="仿宋" w:eastAsia="仿宋" w:cs="仿宋"/>
                <w:color w:val="auto"/>
                <w:kern w:val="2"/>
                <w:sz w:val="28"/>
                <w:szCs w:val="28"/>
                <w:lang w:val="en-US" w:eastAsia="zh-CN" w:bidi="ar-SA"/>
              </w:rPr>
              <w:t>山东精准产品质量检测有限公司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抽样人员名单表报送</w:t>
            </w:r>
          </w:p>
        </w:tc>
        <w:tc>
          <w:tcPr>
            <w:tcW w:w="5709" w:type="dxa"/>
            <w:gridSpan w:val="2"/>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任务部署后5日内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样品抽取时间</w:t>
            </w:r>
          </w:p>
        </w:tc>
        <w:tc>
          <w:tcPr>
            <w:tcW w:w="5709" w:type="dxa"/>
            <w:gridSpan w:val="2"/>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具体时间以部署文件为准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样品检验时间</w:t>
            </w:r>
          </w:p>
        </w:tc>
        <w:tc>
          <w:tcPr>
            <w:tcW w:w="5709" w:type="dxa"/>
            <w:gridSpan w:val="2"/>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任务部署后的1个整体抽检工作完成周期内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检验报告及结果通知发放</w:t>
            </w:r>
          </w:p>
        </w:tc>
        <w:tc>
          <w:tcPr>
            <w:tcW w:w="5709" w:type="dxa"/>
            <w:gridSpan w:val="2"/>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检验工作完成5日内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9" w:type="dxa"/>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承检单位提供资料</w:t>
            </w:r>
          </w:p>
        </w:tc>
        <w:tc>
          <w:tcPr>
            <w:tcW w:w="5709" w:type="dxa"/>
            <w:gridSpan w:val="2"/>
            <w:vAlign w:val="center"/>
          </w:tcPr>
          <w:p>
            <w:pPr>
              <w:spacing w:line="440" w:lineRule="exact"/>
              <w:rPr>
                <w:rFonts w:hint="eastAsia"/>
                <w:vertAlign w:val="baseline"/>
                <w:lang w:eastAsia="zh-CN"/>
              </w:rPr>
            </w:pPr>
            <w:r>
              <w:rPr>
                <w:rFonts w:hint="eastAsia" w:ascii="仿宋" w:hAnsi="仿宋" w:eastAsia="仿宋" w:cs="仿宋"/>
                <w:color w:val="auto"/>
                <w:kern w:val="2"/>
                <w:sz w:val="28"/>
                <w:szCs w:val="28"/>
                <w:lang w:val="en-US" w:eastAsia="zh-CN" w:bidi="ar-SA"/>
              </w:rPr>
              <w:t>检验工作完成10日内</w:t>
            </w:r>
          </w:p>
        </w:tc>
      </w:tr>
    </w:tbl>
    <w:p>
      <w:pPr>
        <w:numPr>
          <w:ilvl w:val="0"/>
          <w:numId w:val="0"/>
        </w:numPr>
        <w:rPr>
          <w:rFonts w:hint="eastAsia"/>
          <w:lang w:eastAsia="zh-CN"/>
        </w:rPr>
      </w:pPr>
    </w:p>
    <w:p>
      <w:pPr>
        <w:pStyle w:val="30"/>
        <w:numPr>
          <w:ilvl w:val="0"/>
          <w:numId w:val="0"/>
        </w:numPr>
        <w:ind w:leftChars="0"/>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六、工作分工</w:t>
      </w:r>
    </w:p>
    <w:p>
      <w:pPr>
        <w:topLinePunct/>
        <w:adjustRightInd w:val="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1、抽样</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市场监督管理部门委托抽样机构抽样，并按照有关规定随机抽取被抽样生产者、销售者，随机选派抽样人员。</w:t>
      </w:r>
    </w:p>
    <w:p>
      <w:pPr>
        <w:pStyle w:val="21"/>
        <w:rPr>
          <w:rFonts w:hint="eastAsia"/>
          <w:lang w:val="en-US" w:eastAsia="zh-CN"/>
        </w:rPr>
      </w:pPr>
      <w:r>
        <w:rPr>
          <w:rFonts w:hint="eastAsia" w:ascii="仿宋" w:hAnsi="仿宋" w:eastAsia="仿宋"/>
          <w:color w:val="000000"/>
          <w:sz w:val="32"/>
          <w:szCs w:val="32"/>
          <w:lang w:val="en-US" w:eastAsia="zh-CN"/>
        </w:rPr>
        <w:t>实行抽检分离制度。除现场检验外，抽样人员不得承担其抽样产品的检验工作。</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抽样人员应当熟悉相关法律、行政法规、部门规章以及标准等规定。</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人员不得少于两人，并向被抽样生产者、销售者出示组织监督抽查的市场监督管理部门出具的监督抽查通知书、抽样人员身份证明。抽样机构执行抽样任务的，还应当出示组织监督抽查的市场监督管理部门出具的授权委托书复印件。</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抽样人员应当告知被抽样生产者、销售者抽查产品范围、抽样方法等。</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样品应当由抽样人员在被抽样生产者、销售者的待销产品中随机抽取，不得由被抽样生产者、销售者自行抽样。</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抽样人员应当使用规定的抽样文书记录抽样信息，并对抽样场所、贮存环境、被抽样产品的标识、库存数量、抽样过程等通过拍照或者录像的方式留存证据。</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抽样文书应当经抽样人员和被抽样生产者、销售者签字。被抽样生产者、销售者拒绝签字的，抽样人员应当在抽样文书上注明情况，必要时可以邀请有关人员作为见证人。</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抽样文书确需更正或者补充的，应当由被抽样生产者、销售者在更正或者补充处以签名、盖章等方式予以确认。</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因被抽样生产者、销售者转产、停业等原因致使无法抽样的，抽样人员应当如实记录，报送组织监督抽查的市场监督管理部门。</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被抽样生产者、销售者以明显不合理的样品价格等方式阻碍、拒绝或者不配合抽样的，抽样人员应当如实记录，立即报告组织监督抽查的市场监督管理部门，并同时报告被抽样生产者、销售者所在地县级市场监督管理部门。</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样品分为检验样品和备用样品。除不以破坏性试验方式进行检验，并且不会对样品质量造成实质性影响的外，抽样人员应当购买检验样品。购买检验样品的价格以生产、销售产品的标价为准；没有标价的，以同类产品的市场价格为准。</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备用样品由被抽样生产者、销售者先行无偿提供。法律、行政法规、部门规章对样品获取方式另有规定的，依照其规定。</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抽样人员应当采取有效的防拆封措施，对检验样品和备用样品分别封样，并由抽样人员和被抽样生产者、销售者签字确认。</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样品应当由抽样人员携带或者寄递至检验机构进行检验。对于易碎品、危险化学品等对运输、贮存过程有特殊要求的样品，应当采取有效措施，保证样品的运输、贮存过程符合国家有关规定，不发生影响检验结论的变化。</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样品需要先行存放在被抽样生产者、销售者处的，应当予以封存，并加施封存标识。被抽样生产者、销售者应当妥善保管封存的样品，不得隐匿、转移、变卖、损毁。</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2、检验</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检验人员收到样品后，应当通过拍照或者录像的方式检查记录样品的外观、状态、封条有无破损以及其他可能对检验结论产生影响的情形，并核对样品与抽样文书的记录是否相符。</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对于抽样不规范的样品，检验人员应当拒绝接收并书面说明理由，同时向组织监督抽查的市场监督管理部门报告。</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被抽样产品实行生产许可、强制性产品认证等管理的，检验人员应当在检验前核实样品的生产者是否符合相应要求。</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检验人员发现样品的生产者涉嫌存在无证无照等无需检验即可判定违法的情形的，应当终止检验，立即报告组织监督抽查的市场监督管理部门，并同时报告涉嫌违法的样品的生产者所在地县级市场监督管理部门。</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检验人员应当按照监督抽查实施规范所规定的检验项目、检验方法、判定规则等进行检验。</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检验中发现因样品失效或者其他原因致使检验无法进行的，检验人员应当如实记录，并提供相关证明材料，报送组织监督抽查的市场监督管理部门。</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检验机构出具检验报告，应当内容真实齐全、数据准确、结论明确，并按照有关规定签字、盖章。</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检验机构和检验人员应当对其出具的检验报告负责。</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检验机构应当在规定时间内将检验报告及有关材料报送组织监督抽查的市场监督管理部门。</w:t>
      </w:r>
    </w:p>
    <w:p>
      <w:pPr>
        <w:topLinePunct/>
        <w:adjustRightInd w:val="0"/>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检验结论为合格并且属于无偿提供的样品，组织监督抽查的市场监督管理部门应当在提出异议处理申请期限届满后及时退还。</w:t>
      </w:r>
    </w:p>
    <w:p>
      <w:pPr>
        <w:topLinePunct/>
        <w:adjustRightInd w:val="0"/>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前款规定以外的其他样品，组织监督抽查的市场监督管理部门应当在提出异议处理申请期限届满后按照有关规定处理。</w:t>
      </w:r>
    </w:p>
    <w:p>
      <w:pPr>
        <w:spacing w:line="560" w:lineRule="exact"/>
        <w:outlineLvl w:val="0"/>
        <w:rPr>
          <w:rFonts w:ascii="黑体" w:hAnsi="黑体" w:eastAsia="黑体"/>
          <w:b/>
          <w:sz w:val="32"/>
          <w:szCs w:val="32"/>
        </w:rPr>
      </w:pPr>
      <w:r>
        <w:rPr>
          <w:rFonts w:hint="eastAsia" w:ascii="黑体" w:hAnsi="黑体" w:eastAsia="黑体"/>
          <w:b/>
          <w:sz w:val="32"/>
          <w:szCs w:val="32"/>
          <w:lang w:eastAsia="zh-CN"/>
        </w:rPr>
        <w:t>七、</w:t>
      </w:r>
      <w:r>
        <w:rPr>
          <w:rFonts w:hint="eastAsia" w:ascii="黑体" w:hAnsi="黑体" w:eastAsia="黑体"/>
          <w:b/>
          <w:sz w:val="32"/>
          <w:szCs w:val="32"/>
        </w:rPr>
        <w:t>承检机构信息</w:t>
      </w:r>
    </w:p>
    <w:p>
      <w:pPr>
        <w:topLinePunct/>
        <w:adjustRightInd w:val="0"/>
        <w:spacing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名    称：</w:t>
      </w:r>
      <w:r>
        <w:rPr>
          <w:rFonts w:hint="eastAsia" w:ascii="仿宋" w:hAnsi="仿宋" w:eastAsia="仿宋"/>
          <w:color w:val="000000"/>
          <w:sz w:val="32"/>
          <w:szCs w:val="32"/>
          <w:lang w:eastAsia="zh-CN"/>
        </w:rPr>
        <w:t>山东精准产品质量检测有限公司</w:t>
      </w:r>
    </w:p>
    <w:p>
      <w:pPr>
        <w:topLinePunct/>
        <w:adjustRightInd w:val="0"/>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地    址：</w:t>
      </w:r>
      <w:r>
        <w:rPr>
          <w:rFonts w:hint="eastAsia" w:ascii="仿宋" w:hAnsi="仿宋" w:eastAsia="仿宋"/>
          <w:color w:val="000000"/>
          <w:sz w:val="32"/>
          <w:szCs w:val="32"/>
          <w:lang w:eastAsia="zh-CN"/>
        </w:rPr>
        <w:t>山东省菏泽市高新区中华西路</w:t>
      </w:r>
      <w:r>
        <w:rPr>
          <w:rFonts w:hint="eastAsia" w:ascii="仿宋" w:hAnsi="仿宋" w:eastAsia="仿宋"/>
          <w:color w:val="000000"/>
          <w:sz w:val="32"/>
          <w:szCs w:val="32"/>
          <w:lang w:val="en-US" w:eastAsia="zh-CN"/>
        </w:rPr>
        <w:t>2059号西楼菏泽高新区金融总部经济园区685室/九为产业园B12、B13栋楼</w:t>
      </w:r>
    </w:p>
    <w:p>
      <w:pPr>
        <w:topLinePunct/>
        <w:adjustRightInd w:val="0"/>
        <w:spacing w:line="56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联 系 人：</w:t>
      </w:r>
      <w:r>
        <w:rPr>
          <w:rFonts w:hint="eastAsia" w:ascii="仿宋" w:hAnsi="仿宋" w:eastAsia="仿宋"/>
          <w:color w:val="000000"/>
          <w:sz w:val="32"/>
          <w:szCs w:val="32"/>
          <w:lang w:eastAsia="zh-CN"/>
        </w:rPr>
        <w:t>周世军</w:t>
      </w:r>
    </w:p>
    <w:p>
      <w:pPr>
        <w:topLinePunct/>
        <w:adjustRightInd w:val="0"/>
        <w:spacing w:line="56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联系方式：</w:t>
      </w:r>
      <w:r>
        <w:rPr>
          <w:rFonts w:hint="eastAsia" w:ascii="仿宋" w:hAnsi="仿宋" w:eastAsia="仿宋"/>
          <w:color w:val="000000"/>
          <w:sz w:val="32"/>
          <w:szCs w:val="32"/>
          <w:lang w:val="en-US" w:eastAsia="zh-CN"/>
        </w:rPr>
        <w:t>13953000505</w:t>
      </w:r>
    </w:p>
    <w:p>
      <w:pPr>
        <w:spacing w:line="560" w:lineRule="exact"/>
        <w:outlineLvl w:val="0"/>
        <w:rPr>
          <w:rFonts w:ascii="黑体" w:hAnsi="黑体" w:eastAsia="黑体"/>
          <w:b/>
          <w:sz w:val="32"/>
          <w:szCs w:val="32"/>
        </w:rPr>
      </w:pPr>
      <w:r>
        <w:rPr>
          <w:rFonts w:hint="eastAsia" w:ascii="黑体" w:hAnsi="黑体" w:eastAsia="黑体"/>
          <w:b/>
          <w:sz w:val="32"/>
          <w:szCs w:val="32"/>
          <w:lang w:eastAsia="zh-CN"/>
        </w:rPr>
        <w:t>八</w:t>
      </w:r>
      <w:r>
        <w:rPr>
          <w:rFonts w:hint="eastAsia" w:ascii="黑体" w:hAnsi="黑体" w:eastAsia="黑体"/>
          <w:b/>
          <w:sz w:val="32"/>
          <w:szCs w:val="32"/>
        </w:rPr>
        <w:t>、监督抽查工作要求</w:t>
      </w:r>
    </w:p>
    <w:p>
      <w:pPr>
        <w:ind w:firstLine="320" w:firstLineChars="100"/>
        <w:jc w:val="left"/>
        <w:rPr>
          <w:rFonts w:ascii="仿宋" w:hAnsi="仿宋" w:eastAsia="仿宋"/>
          <w:color w:val="auto"/>
          <w:sz w:val="32"/>
          <w:szCs w:val="32"/>
        </w:rPr>
      </w:pPr>
      <w:r>
        <w:rPr>
          <w:rFonts w:hint="eastAsia" w:ascii="仿宋" w:hAnsi="仿宋" w:eastAsia="仿宋"/>
          <w:color w:val="000000"/>
          <w:sz w:val="32"/>
          <w:szCs w:val="32"/>
        </w:rPr>
        <w:t>（一）监督抽查工作要严格按照国家市场监督管理总局公布的《产品质量监督抽查管理暂行办法》</w:t>
      </w: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年濮阳市成品油产品质量监督抽查实施细则》、《202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年濮阳市机动车辆制动液产品质量监督抽查实施细则》、《202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年濮阳市胶粘剂产品质量监督抽查实施细则》、《202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年濮阳市润滑油产品质量监督抽查实施细则》、《202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年濮阳市油墨产品质量监督抽查实施细则》、《202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年濮阳市油漆涂料产品质量监督抽查实施细则》</w:t>
      </w:r>
      <w:r>
        <w:rPr>
          <w:rFonts w:hint="eastAsia" w:ascii="仿宋" w:hAnsi="仿宋" w:eastAsia="仿宋"/>
          <w:color w:val="auto"/>
          <w:sz w:val="32"/>
          <w:szCs w:val="32"/>
        </w:rPr>
        <w:t>相关规定开展，严格规范抽检程序，不得随意抽检。</w:t>
      </w:r>
    </w:p>
    <w:p>
      <w:pPr>
        <w:topLinePunct/>
        <w:adjustRightIn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（二）抽样人员应规范着装持证，按方案规定抽取样品。</w:t>
      </w:r>
      <w:r>
        <w:rPr>
          <w:rFonts w:hint="eastAsia" w:ascii="仿宋" w:hAnsi="仿宋" w:eastAsia="仿宋"/>
          <w:color w:val="000000"/>
          <w:sz w:val="32"/>
          <w:szCs w:val="32"/>
          <w:lang w:val="en-US" w:eastAsia="zh-CN"/>
        </w:rPr>
        <w:t>实行抽检分离制度。除现场检验外，抽样人员不得承担其抽样产品的检验工作。</w:t>
      </w:r>
      <w:r>
        <w:rPr>
          <w:rFonts w:hint="eastAsia" w:ascii="仿宋" w:hAnsi="仿宋" w:eastAsia="仿宋"/>
          <w:color w:val="000000"/>
          <w:sz w:val="32"/>
          <w:szCs w:val="32"/>
        </w:rPr>
        <w:t>要确保样品的代表性、科学性，要覆盖高中低档及一定的品牌、场所；要对样品进行确认，确保检测样品与备检样品为同一规格型号/生产批次；要认真填写抽样工作单，要求字迹清晰，信息完整，须与产品标签内容完全一致，应标明样品类别及样品等级，不得缺项、漏项，销售者及抽样人员要现场签字确认；要对样品进行现场拍照留存，样品运输要保证样品的完整与安全；对被抽检经营者要履行好告之义务，保护好经营者合法权益。</w:t>
      </w:r>
    </w:p>
    <w:p>
      <w:pPr>
        <w:topLinePunct/>
        <w:adjustRightIn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（三）承检机构应当在委托范围内开展抽样、检验工作，保证抽样、检验工作及其结果的客观、公正、真实。</w:t>
      </w:r>
    </w:p>
    <w:p>
      <w:pPr>
        <w:pStyle w:val="21"/>
        <w:numPr>
          <w:ilvl w:val="0"/>
          <w:numId w:val="0"/>
        </w:numPr>
        <w:ind w:leftChars="0"/>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九、其他应注意的事项</w:t>
      </w:r>
    </w:p>
    <w:p>
      <w:pPr>
        <w:snapToGrid w:val="0"/>
        <w:spacing w:line="440" w:lineRule="exact"/>
        <w:rPr>
          <w:rFonts w:ascii="黑体" w:hAnsi="宋体" w:eastAsia="黑体"/>
          <w:b/>
          <w:bCs/>
          <w:color w:val="auto"/>
          <w:sz w:val="30"/>
          <w:szCs w:val="30"/>
          <w:highlight w:val="none"/>
        </w:rPr>
      </w:pPr>
      <w:r>
        <w:rPr>
          <w:rFonts w:hint="eastAsia" w:ascii="黑体" w:hAnsi="宋体" w:eastAsia="黑体"/>
          <w:b/>
          <w:bCs/>
          <w:color w:val="auto"/>
          <w:sz w:val="30"/>
          <w:szCs w:val="30"/>
          <w:highlight w:val="none"/>
          <w:lang w:val="en-US" w:eastAsia="zh-CN"/>
        </w:rPr>
        <w:t>1、</w:t>
      </w:r>
      <w:r>
        <w:rPr>
          <w:rFonts w:hint="eastAsia" w:ascii="黑体" w:hAnsi="宋体" w:eastAsia="黑体"/>
          <w:b/>
          <w:bCs/>
          <w:color w:val="auto"/>
          <w:sz w:val="30"/>
          <w:szCs w:val="30"/>
          <w:highlight w:val="none"/>
        </w:rPr>
        <w:t>异议处理</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对判定不合格产品进行异议处理时，按以下方式进行：</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核查不合格项目相关证据，能够以记录（纸质记录或电子记录或影像记录）或与不合格项目相关联的其它质量数据等检验证据证明，并得到被检方认可的，维持原有检验结论不变。</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对需要复检并具备检验条件的，处理企业异议的市场监督管理部门或者指定检验机构应当按原监督抽查方案对留存的样品或抽取的备用样品组织复检，并出具检验报告。复检结论为最终结论。</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被抽样生产者、销售者有异议的，应当自收到检验结论书面告知之日起十五日内向组织监督抽查的市场监督管理部门提出书面异议处理申请，并提交相关材料。</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被抽样生产者、销售者对抽样过程、样品真实性等有异议的，收到异议处理申请的市场监督管理部门应当组织异议处理，并将处理结论书面告知申请人。</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被抽样生产者、销售者对检验结论有异议，提出书面复检申请并阐明理由的，收到异议处理申请的市场监督管理部门应当组织研究。对需要复检并具备检验条件的，应当组织复检。</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除不以破坏性试验方式进行检验，并且不会对样品质量造成实质性影响的外，组织复检的市场监督管理部门应当向被抽样生产者、销售者支付备用样品费用。</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申请人应当自收到市场监督管理部门复检通知之日起七日内办理复检手续。逾期未办理的，视为放弃复检。</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市场监督管理部门应当自申请人办理复检手续之日起十日内确定具备相应资质的检验机构进行复检。</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被抽样生产者、销售者隐匿、转移、变卖、损毁备用样品的，应当终止复检，并以初检结论为最终结论。</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复检机构应当通过拍照或者录像的方式检查记录备用样品的外观、状态、封条有无破损以及其他可能对检验结论产生影响的情形，并核对备用样品与抽样文书的记录是否相符。</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复检机构应当在规定时间内按照监督抽查实施规范所规定的检验方法、判定规则等对与异议相关的检验项目进行复检，并将复检结论及时报送组织复检的市场监督管理部门，由组织复检的市场监督管理部门书面告知复检申请人。复检结论为最终结论。</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复检费用由申请人向复检机构先行支付。复检结论与初检结论一致的，复检费用由申请人承担；与初检结论不一致的，复检费用由组织监督抽查的市场监督管理部门承担。</w:t>
      </w:r>
    </w:p>
    <w:p>
      <w:pPr>
        <w:snapToGrid w:val="0"/>
        <w:spacing w:line="440" w:lineRule="exact"/>
        <w:rPr>
          <w:rFonts w:hint="default" w:ascii="黑体" w:hAnsi="宋体" w:eastAsia="黑体"/>
          <w:b/>
          <w:bCs/>
          <w:color w:val="auto"/>
          <w:sz w:val="30"/>
          <w:szCs w:val="30"/>
          <w:highlight w:val="none"/>
          <w:lang w:val="en-US" w:eastAsia="zh-CN"/>
        </w:rPr>
      </w:pPr>
      <w:r>
        <w:rPr>
          <w:rFonts w:hint="eastAsia" w:ascii="黑体" w:hAnsi="宋体" w:eastAsia="黑体"/>
          <w:b/>
          <w:bCs/>
          <w:color w:val="auto"/>
          <w:sz w:val="30"/>
          <w:szCs w:val="30"/>
          <w:highlight w:val="none"/>
          <w:lang w:val="en-US" w:eastAsia="zh-CN"/>
        </w:rPr>
        <w:t>2、有下列情形之一的，抽样人员不得抽样：</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（一）待销产品数量不符合监督抽查实施规范要求的；</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（二）有充分证据表明拟抽样产品不用于销售，或者只用于出口并且出口合同对产品质量另有约定的；</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（三）产品或者其包装上标注“试制”、“处理”、“样品”等字样的。</w:t>
      </w: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p>
    <w:p>
      <w:pPr>
        <w:pStyle w:val="30"/>
        <w:numPr>
          <w:ilvl w:val="0"/>
          <w:numId w:val="0"/>
        </w:numPr>
        <w:ind w:leftChars="0" w:firstLine="640" w:firstLineChars="200"/>
        <w:jc w:val="left"/>
        <w:rPr>
          <w:rFonts w:hint="eastAsia" w:ascii="仿宋" w:hAnsi="仿宋" w:eastAsia="仿宋" w:cstheme="minorBidi"/>
          <w:color w:val="000000"/>
          <w:kern w:val="2"/>
          <w:sz w:val="32"/>
          <w:szCs w:val="32"/>
          <w:lang w:val="en-US" w:eastAsia="zh-CN" w:bidi="ar-SA"/>
        </w:rPr>
      </w:pPr>
    </w:p>
    <w:sectPr>
      <w:footerReference r:id="rId3" w:type="default"/>
      <w:pgSz w:w="11906" w:h="16838"/>
      <w:pgMar w:top="1440" w:right="1274"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w:t>
    </w:r>
    <w:r>
      <w:rPr>
        <w:lang w:val="zh-CN"/>
      </w:rP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21"/>
    <w:rsid w:val="00047315"/>
    <w:rsid w:val="00050E55"/>
    <w:rsid w:val="00083A21"/>
    <w:rsid w:val="000A11D7"/>
    <w:rsid w:val="000A43A4"/>
    <w:rsid w:val="000C7E04"/>
    <w:rsid w:val="00105641"/>
    <w:rsid w:val="0011281C"/>
    <w:rsid w:val="00133DB8"/>
    <w:rsid w:val="00154603"/>
    <w:rsid w:val="00161DA8"/>
    <w:rsid w:val="00167E91"/>
    <w:rsid w:val="001E2312"/>
    <w:rsid w:val="00221930"/>
    <w:rsid w:val="00224F77"/>
    <w:rsid w:val="00263EA8"/>
    <w:rsid w:val="002A7C53"/>
    <w:rsid w:val="002B2884"/>
    <w:rsid w:val="002E317A"/>
    <w:rsid w:val="00325266"/>
    <w:rsid w:val="003575AB"/>
    <w:rsid w:val="00361BB7"/>
    <w:rsid w:val="00370B3C"/>
    <w:rsid w:val="00387D28"/>
    <w:rsid w:val="00397716"/>
    <w:rsid w:val="003A1EBB"/>
    <w:rsid w:val="003D571C"/>
    <w:rsid w:val="00431A76"/>
    <w:rsid w:val="00465A1B"/>
    <w:rsid w:val="0047238F"/>
    <w:rsid w:val="004E27AB"/>
    <w:rsid w:val="00541581"/>
    <w:rsid w:val="005779D4"/>
    <w:rsid w:val="005A461A"/>
    <w:rsid w:val="00610318"/>
    <w:rsid w:val="00670123"/>
    <w:rsid w:val="006A5A19"/>
    <w:rsid w:val="006C1A7B"/>
    <w:rsid w:val="006D47DA"/>
    <w:rsid w:val="006E3CD8"/>
    <w:rsid w:val="00750BB7"/>
    <w:rsid w:val="00767D33"/>
    <w:rsid w:val="007A761E"/>
    <w:rsid w:val="007C0A54"/>
    <w:rsid w:val="008531CA"/>
    <w:rsid w:val="00892259"/>
    <w:rsid w:val="008D70E4"/>
    <w:rsid w:val="00927AD2"/>
    <w:rsid w:val="00960995"/>
    <w:rsid w:val="009A483D"/>
    <w:rsid w:val="009B5C89"/>
    <w:rsid w:val="009C541A"/>
    <w:rsid w:val="00A114F9"/>
    <w:rsid w:val="00AC278D"/>
    <w:rsid w:val="00B229C2"/>
    <w:rsid w:val="00B42E07"/>
    <w:rsid w:val="00C01315"/>
    <w:rsid w:val="00C02A51"/>
    <w:rsid w:val="00C52718"/>
    <w:rsid w:val="00CD554F"/>
    <w:rsid w:val="00D047DE"/>
    <w:rsid w:val="00D308AF"/>
    <w:rsid w:val="00D46C9E"/>
    <w:rsid w:val="00D538B2"/>
    <w:rsid w:val="00D60D6A"/>
    <w:rsid w:val="00D75579"/>
    <w:rsid w:val="00DF75BE"/>
    <w:rsid w:val="00E371E1"/>
    <w:rsid w:val="00E768BB"/>
    <w:rsid w:val="00E81DC0"/>
    <w:rsid w:val="00E962D4"/>
    <w:rsid w:val="00EA27B2"/>
    <w:rsid w:val="00EA5501"/>
    <w:rsid w:val="00EF5654"/>
    <w:rsid w:val="00F0264C"/>
    <w:rsid w:val="00F07B7D"/>
    <w:rsid w:val="00F1758E"/>
    <w:rsid w:val="00F24034"/>
    <w:rsid w:val="00F611E4"/>
    <w:rsid w:val="00F668DF"/>
    <w:rsid w:val="00F7332C"/>
    <w:rsid w:val="00F80D42"/>
    <w:rsid w:val="00FB0F69"/>
    <w:rsid w:val="00FC701D"/>
    <w:rsid w:val="01842D1C"/>
    <w:rsid w:val="02347CF7"/>
    <w:rsid w:val="0253306D"/>
    <w:rsid w:val="02EF492C"/>
    <w:rsid w:val="035621AE"/>
    <w:rsid w:val="037774EE"/>
    <w:rsid w:val="05682C9B"/>
    <w:rsid w:val="05BE4C1A"/>
    <w:rsid w:val="05FC729E"/>
    <w:rsid w:val="06343329"/>
    <w:rsid w:val="067F46F8"/>
    <w:rsid w:val="06BC70A2"/>
    <w:rsid w:val="06D1487F"/>
    <w:rsid w:val="07012F43"/>
    <w:rsid w:val="07C913DA"/>
    <w:rsid w:val="07F03DB6"/>
    <w:rsid w:val="081421A0"/>
    <w:rsid w:val="09EF717A"/>
    <w:rsid w:val="0A1D470C"/>
    <w:rsid w:val="0A1E15AB"/>
    <w:rsid w:val="0AB83E77"/>
    <w:rsid w:val="0BD04779"/>
    <w:rsid w:val="0D936EA5"/>
    <w:rsid w:val="0F0F7540"/>
    <w:rsid w:val="0F2A2810"/>
    <w:rsid w:val="10262C0F"/>
    <w:rsid w:val="10530424"/>
    <w:rsid w:val="105D1DBB"/>
    <w:rsid w:val="10AA71BC"/>
    <w:rsid w:val="10B85D27"/>
    <w:rsid w:val="115170EF"/>
    <w:rsid w:val="11617FB9"/>
    <w:rsid w:val="11944E0A"/>
    <w:rsid w:val="11D20E9D"/>
    <w:rsid w:val="11FF420B"/>
    <w:rsid w:val="122A7556"/>
    <w:rsid w:val="12363C26"/>
    <w:rsid w:val="12C72B29"/>
    <w:rsid w:val="14874664"/>
    <w:rsid w:val="148A53EC"/>
    <w:rsid w:val="14A606DB"/>
    <w:rsid w:val="150F29E3"/>
    <w:rsid w:val="15583DC8"/>
    <w:rsid w:val="156A575E"/>
    <w:rsid w:val="157D3DBD"/>
    <w:rsid w:val="15B93289"/>
    <w:rsid w:val="15E55543"/>
    <w:rsid w:val="15F2378B"/>
    <w:rsid w:val="15F83515"/>
    <w:rsid w:val="171E7347"/>
    <w:rsid w:val="176D414F"/>
    <w:rsid w:val="17EE7D8F"/>
    <w:rsid w:val="181472E6"/>
    <w:rsid w:val="18301A46"/>
    <w:rsid w:val="18442827"/>
    <w:rsid w:val="18CA2EB4"/>
    <w:rsid w:val="194734DA"/>
    <w:rsid w:val="19692893"/>
    <w:rsid w:val="19B5233D"/>
    <w:rsid w:val="1A507839"/>
    <w:rsid w:val="1B0A0C30"/>
    <w:rsid w:val="1B4D6EDA"/>
    <w:rsid w:val="1BD012CE"/>
    <w:rsid w:val="1C3D1B09"/>
    <w:rsid w:val="1CE543D9"/>
    <w:rsid w:val="1D0B2294"/>
    <w:rsid w:val="1D6E31E5"/>
    <w:rsid w:val="1EBC0122"/>
    <w:rsid w:val="1EFC492E"/>
    <w:rsid w:val="20367403"/>
    <w:rsid w:val="203B63AE"/>
    <w:rsid w:val="20A74F3D"/>
    <w:rsid w:val="20CD0D15"/>
    <w:rsid w:val="20F9582B"/>
    <w:rsid w:val="210A60C1"/>
    <w:rsid w:val="21AE6CB6"/>
    <w:rsid w:val="225478CD"/>
    <w:rsid w:val="22AD4D49"/>
    <w:rsid w:val="22F67C95"/>
    <w:rsid w:val="23907B13"/>
    <w:rsid w:val="242C366D"/>
    <w:rsid w:val="25062BDA"/>
    <w:rsid w:val="252520E1"/>
    <w:rsid w:val="252F1E2A"/>
    <w:rsid w:val="256F09B2"/>
    <w:rsid w:val="25DF7CEE"/>
    <w:rsid w:val="26AD5E7A"/>
    <w:rsid w:val="272935C4"/>
    <w:rsid w:val="279128EF"/>
    <w:rsid w:val="2805529C"/>
    <w:rsid w:val="28290CE4"/>
    <w:rsid w:val="289102DC"/>
    <w:rsid w:val="28D11CFA"/>
    <w:rsid w:val="296206A1"/>
    <w:rsid w:val="2A192EF0"/>
    <w:rsid w:val="2A6D709E"/>
    <w:rsid w:val="2ADA4EB0"/>
    <w:rsid w:val="2B372760"/>
    <w:rsid w:val="2B4F4A5B"/>
    <w:rsid w:val="2BBF1D12"/>
    <w:rsid w:val="2C5C73FB"/>
    <w:rsid w:val="2C6B494D"/>
    <w:rsid w:val="2CDB2102"/>
    <w:rsid w:val="2CF575DD"/>
    <w:rsid w:val="2D5843B2"/>
    <w:rsid w:val="2DD97B90"/>
    <w:rsid w:val="2E7B62EE"/>
    <w:rsid w:val="2F1F12D7"/>
    <w:rsid w:val="2F4E4E7D"/>
    <w:rsid w:val="2F6402D8"/>
    <w:rsid w:val="2F7E6CC0"/>
    <w:rsid w:val="2FE87130"/>
    <w:rsid w:val="2FEF6991"/>
    <w:rsid w:val="309E4F8E"/>
    <w:rsid w:val="30C34B2D"/>
    <w:rsid w:val="313302CD"/>
    <w:rsid w:val="31A92B72"/>
    <w:rsid w:val="31CC4598"/>
    <w:rsid w:val="32100D5B"/>
    <w:rsid w:val="32376954"/>
    <w:rsid w:val="323D3F92"/>
    <w:rsid w:val="333E3A32"/>
    <w:rsid w:val="33510DBE"/>
    <w:rsid w:val="33517B36"/>
    <w:rsid w:val="337A334E"/>
    <w:rsid w:val="338C3C55"/>
    <w:rsid w:val="33C80A9F"/>
    <w:rsid w:val="33F17EB1"/>
    <w:rsid w:val="33FA08A1"/>
    <w:rsid w:val="340C2A78"/>
    <w:rsid w:val="341120E7"/>
    <w:rsid w:val="341A6A0A"/>
    <w:rsid w:val="34310D79"/>
    <w:rsid w:val="343B3DBB"/>
    <w:rsid w:val="35990793"/>
    <w:rsid w:val="36696D72"/>
    <w:rsid w:val="369628B0"/>
    <w:rsid w:val="36AF4501"/>
    <w:rsid w:val="371353C2"/>
    <w:rsid w:val="37771F7F"/>
    <w:rsid w:val="37782A9C"/>
    <w:rsid w:val="37F736BF"/>
    <w:rsid w:val="38551D4C"/>
    <w:rsid w:val="385D026B"/>
    <w:rsid w:val="389200D5"/>
    <w:rsid w:val="38CD4542"/>
    <w:rsid w:val="392A54B5"/>
    <w:rsid w:val="395E319B"/>
    <w:rsid w:val="3C407197"/>
    <w:rsid w:val="3D1B534C"/>
    <w:rsid w:val="3E1753C7"/>
    <w:rsid w:val="3E715474"/>
    <w:rsid w:val="3E8E2328"/>
    <w:rsid w:val="3F870465"/>
    <w:rsid w:val="3FEF559F"/>
    <w:rsid w:val="40D41666"/>
    <w:rsid w:val="40D9123A"/>
    <w:rsid w:val="4232655E"/>
    <w:rsid w:val="426D315F"/>
    <w:rsid w:val="432C76C6"/>
    <w:rsid w:val="43386FDC"/>
    <w:rsid w:val="43693E7D"/>
    <w:rsid w:val="4451145C"/>
    <w:rsid w:val="445464F8"/>
    <w:rsid w:val="448A32AC"/>
    <w:rsid w:val="45316BB2"/>
    <w:rsid w:val="454C59E8"/>
    <w:rsid w:val="45535B1C"/>
    <w:rsid w:val="466630EA"/>
    <w:rsid w:val="47422493"/>
    <w:rsid w:val="48462CB4"/>
    <w:rsid w:val="48815749"/>
    <w:rsid w:val="4894037D"/>
    <w:rsid w:val="48974AD1"/>
    <w:rsid w:val="48A95E3B"/>
    <w:rsid w:val="49206E0D"/>
    <w:rsid w:val="49423D2E"/>
    <w:rsid w:val="499B7372"/>
    <w:rsid w:val="4A143595"/>
    <w:rsid w:val="4A893692"/>
    <w:rsid w:val="4AC36BA3"/>
    <w:rsid w:val="4BAB45FA"/>
    <w:rsid w:val="4BC92943"/>
    <w:rsid w:val="4BED4C5F"/>
    <w:rsid w:val="4C126E65"/>
    <w:rsid w:val="4C1C1F8D"/>
    <w:rsid w:val="4D956BD4"/>
    <w:rsid w:val="4E2F6400"/>
    <w:rsid w:val="4E364146"/>
    <w:rsid w:val="4E5B4996"/>
    <w:rsid w:val="4E794E79"/>
    <w:rsid w:val="4EBC4EA3"/>
    <w:rsid w:val="4ED218A3"/>
    <w:rsid w:val="4F631640"/>
    <w:rsid w:val="4F6D477C"/>
    <w:rsid w:val="508B3DBF"/>
    <w:rsid w:val="509E3508"/>
    <w:rsid w:val="513628D6"/>
    <w:rsid w:val="51392DEC"/>
    <w:rsid w:val="51AA35DB"/>
    <w:rsid w:val="51B61491"/>
    <w:rsid w:val="51B84B02"/>
    <w:rsid w:val="51EB7999"/>
    <w:rsid w:val="520B0E34"/>
    <w:rsid w:val="533E374D"/>
    <w:rsid w:val="537E15BF"/>
    <w:rsid w:val="53B762F2"/>
    <w:rsid w:val="5417676A"/>
    <w:rsid w:val="548369E6"/>
    <w:rsid w:val="55FA48E5"/>
    <w:rsid w:val="568F46B9"/>
    <w:rsid w:val="569723C6"/>
    <w:rsid w:val="57541E99"/>
    <w:rsid w:val="575C1F4C"/>
    <w:rsid w:val="57934B2C"/>
    <w:rsid w:val="579D536B"/>
    <w:rsid w:val="57FB4651"/>
    <w:rsid w:val="58412267"/>
    <w:rsid w:val="5916087A"/>
    <w:rsid w:val="5960593D"/>
    <w:rsid w:val="5A036E46"/>
    <w:rsid w:val="5A1A190F"/>
    <w:rsid w:val="5B827EC5"/>
    <w:rsid w:val="5B897577"/>
    <w:rsid w:val="5BA879BF"/>
    <w:rsid w:val="5BD35D17"/>
    <w:rsid w:val="5D021EC6"/>
    <w:rsid w:val="5DC5325C"/>
    <w:rsid w:val="5E337655"/>
    <w:rsid w:val="5EFF662C"/>
    <w:rsid w:val="5F2D7732"/>
    <w:rsid w:val="609E048F"/>
    <w:rsid w:val="615354E8"/>
    <w:rsid w:val="61993135"/>
    <w:rsid w:val="61E22378"/>
    <w:rsid w:val="62A36850"/>
    <w:rsid w:val="62A8188B"/>
    <w:rsid w:val="63007FD0"/>
    <w:rsid w:val="63371A31"/>
    <w:rsid w:val="63773918"/>
    <w:rsid w:val="63AA5232"/>
    <w:rsid w:val="640C3F22"/>
    <w:rsid w:val="642F5825"/>
    <w:rsid w:val="64627EF0"/>
    <w:rsid w:val="64DA2F67"/>
    <w:rsid w:val="64EF6B6A"/>
    <w:rsid w:val="658921A3"/>
    <w:rsid w:val="660A580A"/>
    <w:rsid w:val="66983164"/>
    <w:rsid w:val="66BD6F7D"/>
    <w:rsid w:val="66DE5A4A"/>
    <w:rsid w:val="674170AE"/>
    <w:rsid w:val="67B130F8"/>
    <w:rsid w:val="67B42651"/>
    <w:rsid w:val="67BB782E"/>
    <w:rsid w:val="67CA36AF"/>
    <w:rsid w:val="683F1E6C"/>
    <w:rsid w:val="68B674AA"/>
    <w:rsid w:val="68EE112E"/>
    <w:rsid w:val="69905E3F"/>
    <w:rsid w:val="6B5B69A5"/>
    <w:rsid w:val="6B882474"/>
    <w:rsid w:val="6CAB2B65"/>
    <w:rsid w:val="6CEB1115"/>
    <w:rsid w:val="6D0970CA"/>
    <w:rsid w:val="6D7246B3"/>
    <w:rsid w:val="6DB95521"/>
    <w:rsid w:val="6DBE0181"/>
    <w:rsid w:val="6EAD7F2D"/>
    <w:rsid w:val="6EE661B0"/>
    <w:rsid w:val="6F181B9B"/>
    <w:rsid w:val="6F5935CD"/>
    <w:rsid w:val="7071314B"/>
    <w:rsid w:val="70CF7FF0"/>
    <w:rsid w:val="71CE6595"/>
    <w:rsid w:val="7213583F"/>
    <w:rsid w:val="72CA0103"/>
    <w:rsid w:val="730572F5"/>
    <w:rsid w:val="742333AE"/>
    <w:rsid w:val="74881E77"/>
    <w:rsid w:val="74F16C95"/>
    <w:rsid w:val="74F45E98"/>
    <w:rsid w:val="76B558A3"/>
    <w:rsid w:val="76F9531E"/>
    <w:rsid w:val="77C02648"/>
    <w:rsid w:val="77F413CA"/>
    <w:rsid w:val="77F612D4"/>
    <w:rsid w:val="781D1429"/>
    <w:rsid w:val="784F1A52"/>
    <w:rsid w:val="7861146D"/>
    <w:rsid w:val="78643F35"/>
    <w:rsid w:val="78B07898"/>
    <w:rsid w:val="78B4205A"/>
    <w:rsid w:val="7A245046"/>
    <w:rsid w:val="7B0962AA"/>
    <w:rsid w:val="7CF257A8"/>
    <w:rsid w:val="7D764E0E"/>
    <w:rsid w:val="7DA97107"/>
    <w:rsid w:val="7E6A65D4"/>
    <w:rsid w:val="7F006C4C"/>
    <w:rsid w:val="7F250074"/>
    <w:rsid w:val="7FB12C37"/>
    <w:rsid w:val="7FB44C49"/>
    <w:rsid w:val="7FE91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0" w:semiHidden="0"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6">
    <w:name w:val="Document Map"/>
    <w:basedOn w:val="1"/>
    <w:link w:val="24"/>
    <w:semiHidden/>
    <w:unhideWhenUsed/>
    <w:qFormat/>
    <w:uiPriority w:val="99"/>
    <w:rPr>
      <w:rFonts w:ascii="宋体" w:eastAsia="宋体"/>
      <w:sz w:val="18"/>
      <w:szCs w:val="18"/>
    </w:rPr>
  </w:style>
  <w:style w:type="paragraph" w:styleId="7">
    <w:name w:val="toa heading"/>
    <w:basedOn w:val="1"/>
    <w:next w:val="1"/>
    <w:semiHidden/>
    <w:qFormat/>
    <w:uiPriority w:val="0"/>
    <w:pPr>
      <w:spacing w:before="120"/>
    </w:pPr>
    <w:rPr>
      <w:rFonts w:ascii="Arial" w:hAnsi="Arial" w:cs="Arial"/>
      <w:sz w:val="24"/>
      <w:szCs w:val="24"/>
    </w:rPr>
  </w:style>
  <w:style w:type="paragraph" w:styleId="8">
    <w:name w:val="Body Text 3"/>
    <w:basedOn w:val="1"/>
    <w:next w:val="9"/>
    <w:qFormat/>
    <w:uiPriority w:val="0"/>
    <w:pPr>
      <w:jc w:val="center"/>
      <w:outlineLvl w:val="0"/>
    </w:pPr>
    <w:rPr>
      <w:rFonts w:ascii="楷体_GB2312"/>
      <w:sz w:val="21"/>
      <w:szCs w:val="20"/>
    </w:rPr>
  </w:style>
  <w:style w:type="paragraph" w:styleId="9">
    <w:name w:val="toc 8"/>
    <w:basedOn w:val="1"/>
    <w:next w:val="1"/>
    <w:qFormat/>
    <w:uiPriority w:val="0"/>
    <w:pPr>
      <w:spacing w:line="360" w:lineRule="auto"/>
      <w:ind w:left="2940" w:leftChars="1400" w:firstLine="480" w:firstLineChars="200"/>
    </w:pPr>
    <w:rPr>
      <w:rFonts w:ascii="宋体"/>
      <w:sz w:val="24"/>
      <w:szCs w:val="24"/>
    </w:rPr>
  </w:style>
  <w:style w:type="paragraph" w:styleId="10">
    <w:name w:val="Body Text"/>
    <w:basedOn w:val="1"/>
    <w:next w:val="11"/>
    <w:qFormat/>
    <w:uiPriority w:val="0"/>
    <w:pPr>
      <w:spacing w:after="120" w:afterLines="0"/>
    </w:pPr>
  </w:style>
  <w:style w:type="paragraph" w:styleId="11">
    <w:name w:val="Body Text First Indent"/>
    <w:basedOn w:val="10"/>
    <w:next w:val="12"/>
    <w:qFormat/>
    <w:uiPriority w:val="0"/>
    <w:pPr>
      <w:tabs>
        <w:tab w:val="left" w:pos="0"/>
        <w:tab w:val="left" w:pos="993"/>
        <w:tab w:val="left" w:pos="1134"/>
      </w:tabs>
      <w:ind w:firstLine="420" w:firstLineChars="100"/>
    </w:pPr>
    <w:rPr>
      <w:rFonts w:ascii="宋体" w:hAnsi="宋体" w:cs="Times New Roman"/>
      <w:sz w:val="24"/>
      <w:szCs w:val="24"/>
    </w:rPr>
  </w:style>
  <w:style w:type="paragraph" w:styleId="12">
    <w:name w:val="Body Text First Indent 2"/>
    <w:basedOn w:val="13"/>
    <w:next w:val="1"/>
    <w:qFormat/>
    <w:uiPriority w:val="0"/>
    <w:pPr>
      <w:spacing w:after="120" w:line="240" w:lineRule="auto"/>
      <w:ind w:left="200" w:leftChars="200" w:firstLine="200" w:firstLineChars="200"/>
    </w:pPr>
  </w:style>
  <w:style w:type="paragraph" w:styleId="13">
    <w:name w:val="Body Text Indent"/>
    <w:basedOn w:val="1"/>
    <w:next w:val="8"/>
    <w:qFormat/>
    <w:uiPriority w:val="0"/>
    <w:pPr>
      <w:spacing w:line="500" w:lineRule="exact"/>
      <w:ind w:left="1588" w:leftChars="832" w:firstLine="433" w:firstLineChars="196"/>
    </w:pPr>
    <w:rPr>
      <w:sz w:val="24"/>
    </w:rPr>
  </w:style>
  <w:style w:type="paragraph" w:styleId="14">
    <w:name w:val="footer"/>
    <w:basedOn w:val="1"/>
    <w:link w:val="23"/>
    <w:unhideWhenUsed/>
    <w:qFormat/>
    <w:uiPriority w:val="99"/>
    <w:pPr>
      <w:tabs>
        <w:tab w:val="center" w:pos="4153"/>
        <w:tab w:val="right" w:pos="8306"/>
      </w:tabs>
      <w:snapToGrid w:val="0"/>
      <w:jc w:val="left"/>
    </w:pPr>
    <w:rPr>
      <w:sz w:val="18"/>
      <w:szCs w:val="18"/>
    </w:rPr>
  </w:style>
  <w:style w:type="paragraph" w:styleId="1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28"/>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7">
    <w:name w:val="Title"/>
    <w:basedOn w:val="1"/>
    <w:next w:val="1"/>
    <w:link w:val="27"/>
    <w:qFormat/>
    <w:uiPriority w:val="10"/>
    <w:pPr>
      <w:spacing w:before="240" w:after="60"/>
      <w:jc w:val="center"/>
      <w:outlineLvl w:val="0"/>
    </w:pPr>
    <w:rPr>
      <w:rFonts w:eastAsia="宋体" w:asciiTheme="majorHAnsi" w:hAnsiTheme="majorHAnsi" w:cstheme="majorBidi"/>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列出段落1"/>
    <w:basedOn w:val="1"/>
    <w:qFormat/>
    <w:uiPriority w:val="99"/>
    <w:pPr>
      <w:ind w:firstLine="420" w:firstLineChars="200"/>
    </w:pPr>
  </w:style>
  <w:style w:type="character" w:customStyle="1" w:styleId="22">
    <w:name w:val="页眉 字符"/>
    <w:basedOn w:val="20"/>
    <w:link w:val="15"/>
    <w:qFormat/>
    <w:uiPriority w:val="99"/>
    <w:rPr>
      <w:sz w:val="18"/>
      <w:szCs w:val="18"/>
    </w:rPr>
  </w:style>
  <w:style w:type="character" w:customStyle="1" w:styleId="23">
    <w:name w:val="页脚 字符"/>
    <w:basedOn w:val="20"/>
    <w:link w:val="14"/>
    <w:qFormat/>
    <w:uiPriority w:val="99"/>
    <w:rPr>
      <w:sz w:val="18"/>
      <w:szCs w:val="18"/>
    </w:rPr>
  </w:style>
  <w:style w:type="character" w:customStyle="1" w:styleId="24">
    <w:name w:val="文档结构图 字符"/>
    <w:basedOn w:val="20"/>
    <w:link w:val="6"/>
    <w:semiHidden/>
    <w:qFormat/>
    <w:uiPriority w:val="99"/>
    <w:rPr>
      <w:rFonts w:ascii="宋体" w:eastAsia="宋体"/>
      <w:sz w:val="18"/>
      <w:szCs w:val="18"/>
    </w:rPr>
  </w:style>
  <w:style w:type="character" w:customStyle="1" w:styleId="25">
    <w:name w:val="标题 1 字符"/>
    <w:basedOn w:val="20"/>
    <w:link w:val="3"/>
    <w:qFormat/>
    <w:uiPriority w:val="9"/>
    <w:rPr>
      <w:b/>
      <w:bCs/>
      <w:kern w:val="44"/>
      <w:sz w:val="44"/>
      <w:szCs w:val="44"/>
    </w:rPr>
  </w:style>
  <w:style w:type="character" w:customStyle="1" w:styleId="26">
    <w:name w:val="标题 2 字符"/>
    <w:basedOn w:val="20"/>
    <w:link w:val="4"/>
    <w:qFormat/>
    <w:uiPriority w:val="9"/>
    <w:rPr>
      <w:rFonts w:asciiTheme="majorHAnsi" w:hAnsiTheme="majorHAnsi" w:eastAsiaTheme="majorEastAsia" w:cstheme="majorBidi"/>
      <w:b/>
      <w:bCs/>
      <w:sz w:val="32"/>
      <w:szCs w:val="32"/>
    </w:rPr>
  </w:style>
  <w:style w:type="character" w:customStyle="1" w:styleId="27">
    <w:name w:val="标题 字符"/>
    <w:basedOn w:val="20"/>
    <w:link w:val="17"/>
    <w:qFormat/>
    <w:uiPriority w:val="10"/>
    <w:rPr>
      <w:rFonts w:eastAsia="宋体" w:asciiTheme="majorHAnsi" w:hAnsiTheme="majorHAnsi" w:cstheme="majorBidi"/>
      <w:b/>
      <w:bCs/>
      <w:sz w:val="32"/>
      <w:szCs w:val="32"/>
    </w:rPr>
  </w:style>
  <w:style w:type="character" w:customStyle="1" w:styleId="28">
    <w:name w:val="副标题 字符"/>
    <w:basedOn w:val="20"/>
    <w:link w:val="16"/>
    <w:qFormat/>
    <w:uiPriority w:val="11"/>
    <w:rPr>
      <w:rFonts w:eastAsia="宋体" w:asciiTheme="majorHAnsi" w:hAnsiTheme="majorHAnsi" w:cstheme="majorBidi"/>
      <w:b/>
      <w:bCs/>
      <w:kern w:val="28"/>
      <w:sz w:val="32"/>
      <w:szCs w:val="32"/>
    </w:rPr>
  </w:style>
  <w:style w:type="paragraph" w:customStyle="1" w:styleId="29">
    <w:name w:val="Table Paragraph"/>
    <w:basedOn w:val="1"/>
    <w:qFormat/>
    <w:uiPriority w:val="1"/>
    <w:rPr>
      <w:rFonts w:ascii="宋体" w:hAnsi="宋体" w:eastAsia="宋体" w:cs="宋体"/>
      <w:lang w:val="zh-CN" w:eastAsia="zh-CN" w:bidi="zh-CN"/>
    </w:rPr>
  </w:style>
  <w:style w:type="paragraph" w:styleId="30">
    <w:name w:val="List Paragraph"/>
    <w:basedOn w:val="1"/>
    <w:qFormat/>
    <w:uiPriority w:val="34"/>
    <w:pPr>
      <w:ind w:firstLine="420" w:firstLineChars="200"/>
    </w:pPr>
  </w:style>
  <w:style w:type="paragraph" w:customStyle="1" w:styleId="31">
    <w:name w:val="Other|1"/>
    <w:basedOn w:val="1"/>
    <w:qFormat/>
    <w:uiPriority w:val="0"/>
    <w:pPr>
      <w:spacing w:line="338" w:lineRule="auto"/>
      <w:ind w:firstLine="400"/>
    </w:pPr>
    <w:rPr>
      <w:rFonts w:ascii="MingLiU" w:hAnsi="MingLiU" w:eastAsia="MingLiU" w:cs="MingLiU"/>
      <w:sz w:val="19"/>
      <w:szCs w:val="19"/>
      <w:lang w:val="zh-TW" w:eastAsia="zh-TW" w:bidi="zh-TW"/>
    </w:rPr>
  </w:style>
  <w:style w:type="paragraph" w:customStyle="1" w:styleId="32">
    <w:name w:val="Default"/>
    <w:next w:val="3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3">
    <w:name w:val="大标题"/>
    <w:basedOn w:val="1"/>
    <w:next w:val="12"/>
    <w:qFormat/>
    <w:uiPriority w:val="0"/>
    <w:pPr>
      <w:jc w:val="center"/>
    </w:pPr>
    <w:rPr>
      <w:rFonts w:ascii="Arial" w:hAnsi="Arial" w:eastAsia="宋体"/>
      <w:b/>
      <w:sz w:val="28"/>
      <w:szCs w:val="24"/>
    </w:rPr>
  </w:style>
  <w:style w:type="paragraph" w:customStyle="1" w:styleId="34">
    <w:name w:val="列出段落1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626</Words>
  <Characters>3571</Characters>
  <Lines>29</Lines>
  <Paragraphs>8</Paragraphs>
  <TotalTime>1</TotalTime>
  <ScaleCrop>false</ScaleCrop>
  <LinksUpToDate>false</LinksUpToDate>
  <CharactersWithSpaces>4189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2019-06-10T14:15:00Z</dcterms:created>
  <dc:creator>Administrator</dc:creator>
  <cp:lastModifiedBy>神的公主殿下</cp:lastModifiedBy>
  <dcterms:modified xsi:type="dcterms:W3CDTF">2021-03-22T08:47:15Z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4BF34297542F4ECA9A804746611DB73B</vt:lpwstr>
  </property>
</Properties>
</file>